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E834E5">
            <w:pPr>
              <w:pStyle w:val="Header"/>
              <w:rPr>
                <w:b/>
                <w:sz w:val="20"/>
              </w:rPr>
            </w:pPr>
            <w:r>
              <w:rPr>
                <w:b/>
                <w:sz w:val="20"/>
              </w:rPr>
              <w:t>Calendar Year 20</w:t>
            </w:r>
            <w:r w:rsidR="00A4564F">
              <w:rPr>
                <w:b/>
                <w:sz w:val="20"/>
              </w:rPr>
              <w:t>1</w:t>
            </w:r>
            <w:r w:rsidR="00E834E5">
              <w:rPr>
                <w:b/>
                <w:sz w:val="20"/>
              </w:rPr>
              <w:t>3</w:t>
            </w:r>
          </w:p>
        </w:tc>
        <w:tc>
          <w:tcPr>
            <w:tcW w:w="3366" w:type="dxa"/>
            <w:tcBorders>
              <w:bottom w:val="double" w:sz="6" w:space="0" w:color="auto"/>
            </w:tcBorders>
          </w:tcPr>
          <w:p w:rsidR="00B20211" w:rsidRDefault="00722E47" w:rsidP="00722E47">
            <w:pPr>
              <w:pStyle w:val="Header"/>
              <w:jc w:val="center"/>
              <w:rPr>
                <w:b/>
                <w:sz w:val="20"/>
              </w:rPr>
            </w:pPr>
            <w:r>
              <w:rPr>
                <w:b/>
                <w:sz w:val="20"/>
              </w:rPr>
              <w:t>June 24</w:t>
            </w:r>
            <w:r w:rsidR="00564691">
              <w:rPr>
                <w:b/>
                <w:sz w:val="20"/>
              </w:rPr>
              <w:t>, 2013</w:t>
            </w:r>
          </w:p>
        </w:tc>
        <w:tc>
          <w:tcPr>
            <w:tcW w:w="3366" w:type="dxa"/>
            <w:tcBorders>
              <w:bottom w:val="double" w:sz="6" w:space="0" w:color="auto"/>
            </w:tcBorders>
          </w:tcPr>
          <w:p w:rsidR="00B20211" w:rsidRDefault="00B20211" w:rsidP="00AD1B45">
            <w:pPr>
              <w:pStyle w:val="Header"/>
              <w:jc w:val="right"/>
              <w:rPr>
                <w:b/>
                <w:sz w:val="20"/>
              </w:rPr>
            </w:pPr>
            <w:r>
              <w:rPr>
                <w:b/>
                <w:sz w:val="20"/>
              </w:rPr>
              <w:t>Volume 20</w:t>
            </w:r>
            <w:r w:rsidR="00A4564F">
              <w:rPr>
                <w:b/>
                <w:sz w:val="20"/>
              </w:rPr>
              <w:t>1</w:t>
            </w:r>
            <w:r w:rsidR="00564691">
              <w:rPr>
                <w:b/>
                <w:sz w:val="20"/>
              </w:rPr>
              <w:t>3-</w:t>
            </w:r>
            <w:r w:rsidR="00AD1B45">
              <w:rPr>
                <w:b/>
                <w:sz w:val="20"/>
              </w:rPr>
              <w:t>08</w:t>
            </w:r>
          </w:p>
        </w:tc>
      </w:tr>
    </w:tbl>
    <w:p w:rsidR="00B20211" w:rsidRDefault="00B20211" w:rsidP="00B20211">
      <w:pPr>
        <w:tabs>
          <w:tab w:val="left" w:pos="990"/>
        </w:tabs>
        <w:jc w:val="center"/>
      </w:pPr>
    </w:p>
    <w:tbl>
      <w:tblPr>
        <w:tblW w:w="0" w:type="auto"/>
        <w:tblLook w:val="01E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BC48D7" w:rsidRDefault="00BC48D7" w:rsidP="00587CEB">
            <w:pPr>
              <w:numPr>
                <w:ilvl w:val="0"/>
                <w:numId w:val="2"/>
              </w:numPr>
              <w:tabs>
                <w:tab w:val="left" w:pos="990"/>
              </w:tabs>
              <w:spacing w:before="60"/>
              <w:ind w:left="547"/>
              <w:rPr>
                <w:b/>
                <w:sz w:val="20"/>
              </w:rPr>
            </w:pPr>
            <w:r>
              <w:rPr>
                <w:b/>
                <w:sz w:val="20"/>
              </w:rPr>
              <w:t>July Check Dates</w:t>
            </w:r>
          </w:p>
          <w:p w:rsidR="00DA6523" w:rsidRDefault="00587CEB" w:rsidP="00587CEB">
            <w:pPr>
              <w:numPr>
                <w:ilvl w:val="0"/>
                <w:numId w:val="2"/>
              </w:numPr>
              <w:tabs>
                <w:tab w:val="left" w:pos="990"/>
              </w:tabs>
              <w:spacing w:before="60"/>
              <w:ind w:left="547"/>
              <w:rPr>
                <w:b/>
                <w:sz w:val="20"/>
              </w:rPr>
            </w:pPr>
            <w:r w:rsidRPr="00B65B4E">
              <w:rPr>
                <w:b/>
                <w:sz w:val="20"/>
              </w:rPr>
              <w:t>Health Care</w:t>
            </w:r>
            <w:r w:rsidR="00B65B4E" w:rsidRPr="00B65B4E">
              <w:rPr>
                <w:b/>
                <w:sz w:val="20"/>
              </w:rPr>
              <w:t>/Automated Update</w:t>
            </w:r>
            <w:r w:rsidRPr="00B65B4E">
              <w:rPr>
                <w:b/>
                <w:sz w:val="20"/>
              </w:rPr>
              <w:t xml:space="preserve"> Changes </w:t>
            </w:r>
            <w:r w:rsidR="00B65B4E" w:rsidRPr="00B65B4E">
              <w:rPr>
                <w:b/>
                <w:sz w:val="20"/>
              </w:rPr>
              <w:t>for July 1, 2013</w:t>
            </w:r>
          </w:p>
          <w:p w:rsidR="00B65B4E" w:rsidRDefault="00B65B4E" w:rsidP="00587CEB">
            <w:pPr>
              <w:numPr>
                <w:ilvl w:val="0"/>
                <w:numId w:val="2"/>
              </w:numPr>
              <w:tabs>
                <w:tab w:val="left" w:pos="990"/>
              </w:tabs>
              <w:spacing w:before="60"/>
              <w:ind w:left="547"/>
              <w:rPr>
                <w:b/>
                <w:sz w:val="20"/>
              </w:rPr>
            </w:pPr>
            <w:r>
              <w:rPr>
                <w:b/>
                <w:sz w:val="20"/>
              </w:rPr>
              <w:t>Change in Utility Field for Pre</w:t>
            </w:r>
            <w:r w:rsidR="00214179">
              <w:rPr>
                <w:b/>
                <w:sz w:val="20"/>
              </w:rPr>
              <w:t>-</w:t>
            </w:r>
            <w:r>
              <w:rPr>
                <w:b/>
                <w:sz w:val="20"/>
              </w:rPr>
              <w:t>tax Deductions</w:t>
            </w:r>
          </w:p>
          <w:p w:rsidR="00390F63" w:rsidRDefault="00390F63" w:rsidP="00587CEB">
            <w:pPr>
              <w:numPr>
                <w:ilvl w:val="0"/>
                <w:numId w:val="2"/>
              </w:numPr>
              <w:tabs>
                <w:tab w:val="left" w:pos="990"/>
              </w:tabs>
              <w:spacing w:before="60"/>
              <w:ind w:left="547"/>
              <w:rPr>
                <w:b/>
                <w:sz w:val="20"/>
              </w:rPr>
            </w:pPr>
            <w:r>
              <w:rPr>
                <w:b/>
                <w:sz w:val="20"/>
              </w:rPr>
              <w:t>Optional Group Life Rate Changes</w:t>
            </w:r>
          </w:p>
          <w:p w:rsidR="00E259BE" w:rsidRPr="00B65B4E" w:rsidRDefault="00E259BE" w:rsidP="00E259BE">
            <w:pPr>
              <w:numPr>
                <w:ilvl w:val="0"/>
                <w:numId w:val="2"/>
              </w:numPr>
              <w:tabs>
                <w:tab w:val="left" w:pos="990"/>
              </w:tabs>
              <w:spacing w:before="60"/>
              <w:ind w:left="547"/>
              <w:rPr>
                <w:b/>
                <w:sz w:val="20"/>
              </w:rPr>
            </w:pPr>
            <w:r>
              <w:rPr>
                <w:b/>
                <w:sz w:val="20"/>
              </w:rPr>
              <w:t>Modification to PAT 1500-Hour Report</w:t>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Pr="00C50FDD" w:rsidRDefault="00B20211" w:rsidP="00C50FDD">
      <w:pPr>
        <w:pStyle w:val="BlockLine"/>
        <w:spacing w:before="120"/>
        <w:ind w:left="1620"/>
        <w:rPr>
          <w:sz w:val="16"/>
          <w:szCs w:val="16"/>
        </w:rPr>
      </w:pPr>
    </w:p>
    <w:p w:rsidR="00781905" w:rsidRPr="00781905" w:rsidRDefault="00781905" w:rsidP="00781905">
      <w:pPr>
        <w:pStyle w:val="Heading4"/>
        <w:spacing w:after="0"/>
        <w:rPr>
          <w:rFonts w:ascii="Times New Roman" w:hAnsi="Times New Roman"/>
          <w:b/>
          <w:bCs/>
          <w:sz w:val="28"/>
          <w:szCs w:val="28"/>
        </w:rPr>
      </w:pPr>
      <w:r w:rsidRPr="00781905">
        <w:rPr>
          <w:rFonts w:ascii="Times New Roman" w:hAnsi="Times New Roman"/>
          <w:b/>
          <w:bCs/>
          <w:sz w:val="28"/>
          <w:szCs w:val="28"/>
        </w:rPr>
        <w:t>July Check Distribution</w:t>
      </w:r>
    </w:p>
    <w:p w:rsidR="00781905" w:rsidRPr="00C50FDD" w:rsidRDefault="00781905" w:rsidP="00781905">
      <w:pPr>
        <w:pStyle w:val="BlockLine"/>
        <w:ind w:left="1620"/>
        <w:rPr>
          <w:sz w:val="16"/>
          <w:szCs w:val="16"/>
        </w:rPr>
      </w:pPr>
    </w:p>
    <w:tbl>
      <w:tblPr>
        <w:tblW w:w="10188" w:type="dxa"/>
        <w:tblCellMar>
          <w:left w:w="0" w:type="dxa"/>
          <w:right w:w="0" w:type="dxa"/>
        </w:tblCellMar>
        <w:tblLook w:val="04A0"/>
      </w:tblPr>
      <w:tblGrid>
        <w:gridCol w:w="1713"/>
        <w:gridCol w:w="8475"/>
      </w:tblGrid>
      <w:tr w:rsidR="00781905" w:rsidTr="00781905">
        <w:trPr>
          <w:cantSplit/>
          <w:trHeight w:val="882"/>
        </w:trPr>
        <w:tc>
          <w:tcPr>
            <w:tcW w:w="1713" w:type="dxa"/>
            <w:tcMar>
              <w:top w:w="0" w:type="dxa"/>
              <w:left w:w="108" w:type="dxa"/>
              <w:bottom w:w="0" w:type="dxa"/>
              <w:right w:w="108" w:type="dxa"/>
            </w:tcMar>
            <w:hideMark/>
          </w:tcPr>
          <w:p w:rsidR="00781905" w:rsidRDefault="00781905">
            <w:pPr>
              <w:pStyle w:val="Heading5"/>
              <w:rPr>
                <w:rFonts w:ascii="Times New Roman Bold" w:hAnsi="Times New Roman Bold"/>
                <w:bCs/>
                <w:sz w:val="24"/>
                <w:szCs w:val="24"/>
              </w:rPr>
            </w:pPr>
            <w:r>
              <w:rPr>
                <w:rFonts w:ascii="Times New Roman Bold" w:hAnsi="Times New Roman Bold"/>
              </w:rPr>
              <w:t>July Check Dates</w:t>
            </w:r>
          </w:p>
        </w:tc>
        <w:tc>
          <w:tcPr>
            <w:tcW w:w="8475" w:type="dxa"/>
            <w:tcMar>
              <w:top w:w="0" w:type="dxa"/>
              <w:left w:w="108" w:type="dxa"/>
              <w:bottom w:w="0" w:type="dxa"/>
              <w:right w:w="108" w:type="dxa"/>
            </w:tcMar>
          </w:tcPr>
          <w:p w:rsidR="00781905" w:rsidRDefault="00781905">
            <w:pPr>
              <w:rPr>
                <w:rFonts w:eastAsiaTheme="minorHAnsi"/>
                <w:szCs w:val="24"/>
              </w:rPr>
            </w:pPr>
            <w:r>
              <w:t>Under no circumstances are payroll checks with any July 2013 check date to be placed into the U.S. mail prior to 2:00 p.m. on June 28, 2013.</w:t>
            </w:r>
          </w:p>
          <w:p w:rsidR="00781905" w:rsidRPr="00781905" w:rsidRDefault="00781905">
            <w:pPr>
              <w:rPr>
                <w:rFonts w:ascii="Calibri" w:hAnsi="Calibri"/>
                <w:sz w:val="16"/>
                <w:szCs w:val="16"/>
              </w:rPr>
            </w:pPr>
          </w:p>
          <w:p w:rsidR="00781905" w:rsidRDefault="00781905">
            <w:pPr>
              <w:rPr>
                <w:rFonts w:ascii="Calibri" w:eastAsiaTheme="minorHAnsi" w:hAnsi="Calibri"/>
                <w:szCs w:val="24"/>
              </w:rPr>
            </w:pPr>
            <w:r>
              <w:t>Additionally, under no circumstances are checks with a July 2013 check date to be placed into an employee’s possession prior to July 1, 2013.</w:t>
            </w:r>
          </w:p>
        </w:tc>
      </w:tr>
    </w:tbl>
    <w:p w:rsidR="00781905" w:rsidRPr="00C50FDD" w:rsidRDefault="00781905" w:rsidP="00781905">
      <w:pPr>
        <w:pStyle w:val="BlockLine"/>
        <w:ind w:left="1620"/>
        <w:rPr>
          <w:sz w:val="16"/>
          <w:szCs w:val="16"/>
        </w:rPr>
      </w:pPr>
    </w:p>
    <w:p w:rsidR="00B20211" w:rsidRDefault="006D49C3" w:rsidP="00C50FDD">
      <w:pPr>
        <w:pStyle w:val="Heading4"/>
        <w:spacing w:after="0"/>
        <w:rPr>
          <w:rFonts w:ascii="Times New Roman" w:hAnsi="Times New Roman"/>
          <w:b/>
          <w:sz w:val="28"/>
          <w:szCs w:val="28"/>
        </w:rPr>
      </w:pPr>
      <w:r>
        <w:rPr>
          <w:rFonts w:ascii="Times New Roman" w:hAnsi="Times New Roman"/>
          <w:b/>
          <w:sz w:val="28"/>
          <w:szCs w:val="28"/>
        </w:rPr>
        <w:t>Health Care</w:t>
      </w:r>
      <w:r w:rsidR="00B65B4E">
        <w:rPr>
          <w:rFonts w:ascii="Times New Roman" w:hAnsi="Times New Roman"/>
          <w:b/>
          <w:sz w:val="28"/>
          <w:szCs w:val="28"/>
        </w:rPr>
        <w:t>/Automated Update</w:t>
      </w:r>
      <w:r>
        <w:rPr>
          <w:rFonts w:ascii="Times New Roman" w:hAnsi="Times New Roman"/>
          <w:b/>
          <w:sz w:val="28"/>
          <w:szCs w:val="28"/>
        </w:rPr>
        <w:t xml:space="preserve"> Changes for July</w:t>
      </w:r>
      <w:r w:rsidR="00B65B4E">
        <w:rPr>
          <w:rFonts w:ascii="Times New Roman" w:hAnsi="Times New Roman"/>
          <w:b/>
          <w:sz w:val="28"/>
          <w:szCs w:val="28"/>
        </w:rPr>
        <w:t xml:space="preserve"> </w:t>
      </w:r>
      <w:r>
        <w:rPr>
          <w:rFonts w:ascii="Times New Roman" w:hAnsi="Times New Roman"/>
          <w:b/>
          <w:sz w:val="28"/>
          <w:szCs w:val="28"/>
        </w:rPr>
        <w:t>1</w:t>
      </w:r>
      <w:r w:rsidR="00B65B4E">
        <w:rPr>
          <w:rFonts w:ascii="Times New Roman" w:hAnsi="Times New Roman"/>
          <w:b/>
          <w:sz w:val="28"/>
          <w:szCs w:val="28"/>
        </w:rPr>
        <w:t>, 2013</w:t>
      </w:r>
    </w:p>
    <w:p w:rsidR="004E7B9F" w:rsidRPr="00C50FDD" w:rsidRDefault="004E7B9F" w:rsidP="004E7B9F">
      <w:pPr>
        <w:pStyle w:val="BlockLine"/>
        <w:ind w:left="1620"/>
        <w:rPr>
          <w:sz w:val="16"/>
          <w:szCs w:val="16"/>
        </w:rPr>
      </w:pPr>
    </w:p>
    <w:tbl>
      <w:tblPr>
        <w:tblW w:w="10188" w:type="dxa"/>
        <w:tblLayout w:type="fixed"/>
        <w:tblLook w:val="0000"/>
      </w:tblPr>
      <w:tblGrid>
        <w:gridCol w:w="1728"/>
        <w:gridCol w:w="8460"/>
      </w:tblGrid>
      <w:tr w:rsidR="00B20211" w:rsidTr="00781905">
        <w:trPr>
          <w:cantSplit/>
          <w:trHeight w:val="6327"/>
        </w:trPr>
        <w:tc>
          <w:tcPr>
            <w:tcW w:w="1728" w:type="dxa"/>
          </w:tcPr>
          <w:p w:rsidR="00B20211" w:rsidRDefault="00611577" w:rsidP="003B1670">
            <w:pPr>
              <w:pStyle w:val="Heading5"/>
            </w:pPr>
            <w:r>
              <w:t>Automated BES to CIPPS Update Modification</w:t>
            </w:r>
          </w:p>
        </w:tc>
        <w:tc>
          <w:tcPr>
            <w:tcW w:w="8460" w:type="dxa"/>
          </w:tcPr>
          <w:p w:rsidR="008F1713" w:rsidRDefault="00611577" w:rsidP="006A1493">
            <w:pPr>
              <w:rPr>
                <w:color w:val="000000"/>
              </w:rPr>
            </w:pPr>
            <w:r>
              <w:rPr>
                <w:color w:val="000000"/>
              </w:rPr>
              <w:t xml:space="preserve">Beginning in Fiscal Year 2014 employees can earn a discount to their employee-paid health care premiums.  This reduction in premiums is known as a Health Care Reward.  Deduction 025, HC Reward, will be used to account for the discounted premium amount.  </w:t>
            </w:r>
            <w:r w:rsidR="008F1713">
              <w:rPr>
                <w:color w:val="000000"/>
              </w:rPr>
              <w:t xml:space="preserve">Deduction 025 will not create </w:t>
            </w:r>
            <w:proofErr w:type="gramStart"/>
            <w:r w:rsidR="008F1713">
              <w:rPr>
                <w:color w:val="000000"/>
              </w:rPr>
              <w:t>an expenditure</w:t>
            </w:r>
            <w:proofErr w:type="gramEnd"/>
            <w:r w:rsidR="008F1713">
              <w:rPr>
                <w:color w:val="000000"/>
              </w:rPr>
              <w:t xml:space="preserve"> to the agency and therefore will not be reflected on the Reports U022/U033.  It simply accounts for the </w:t>
            </w:r>
            <w:r w:rsidR="00ED5D71">
              <w:rPr>
                <w:color w:val="000000"/>
              </w:rPr>
              <w:t xml:space="preserve">reward </w:t>
            </w:r>
            <w:r w:rsidR="008F1713">
              <w:rPr>
                <w:color w:val="000000"/>
              </w:rPr>
              <w:t xml:space="preserve">amount covered by the Health Insurance Fund (HIF) </w:t>
            </w:r>
            <w:r w:rsidR="00ED5D71">
              <w:rPr>
                <w:color w:val="000000"/>
              </w:rPr>
              <w:t>for inclusion in</w:t>
            </w:r>
            <w:r w:rsidR="008F1713">
              <w:rPr>
                <w:color w:val="000000"/>
              </w:rPr>
              <w:t xml:space="preserve"> the monthly health care reconciliation.</w:t>
            </w:r>
          </w:p>
          <w:p w:rsidR="008F1713" w:rsidRPr="00781905" w:rsidRDefault="008F1713" w:rsidP="006D49C3">
            <w:pPr>
              <w:ind w:left="162"/>
              <w:rPr>
                <w:color w:val="000000"/>
                <w:sz w:val="16"/>
                <w:szCs w:val="16"/>
              </w:rPr>
            </w:pPr>
          </w:p>
          <w:p w:rsidR="006D49C3" w:rsidRPr="006D49C3" w:rsidRDefault="00121C51" w:rsidP="006A1493">
            <w:pPr>
              <w:rPr>
                <w:color w:val="000000"/>
              </w:rPr>
            </w:pPr>
            <w:r>
              <w:rPr>
                <w:color w:val="000000"/>
              </w:rPr>
              <w:t>Effective July 1, 2013</w:t>
            </w:r>
            <w:r w:rsidR="00FE1AE1">
              <w:rPr>
                <w:color w:val="000000"/>
              </w:rPr>
              <w:t>,</w:t>
            </w:r>
            <w:r>
              <w:rPr>
                <w:color w:val="000000"/>
              </w:rPr>
              <w:t xml:space="preserve"> </w:t>
            </w:r>
            <w:r w:rsidR="007C2829">
              <w:rPr>
                <w:color w:val="000000"/>
              </w:rPr>
              <w:t xml:space="preserve">the </w:t>
            </w:r>
            <w:r w:rsidR="006D49C3">
              <w:rPr>
                <w:color w:val="000000"/>
              </w:rPr>
              <w:t xml:space="preserve">BES </w:t>
            </w:r>
            <w:r w:rsidR="007C2829">
              <w:rPr>
                <w:color w:val="000000"/>
              </w:rPr>
              <w:t xml:space="preserve">to </w:t>
            </w:r>
            <w:r w:rsidR="006D49C3">
              <w:rPr>
                <w:color w:val="000000"/>
              </w:rPr>
              <w:t xml:space="preserve">CIPPS </w:t>
            </w:r>
            <w:r w:rsidR="007C2829">
              <w:rPr>
                <w:color w:val="000000"/>
              </w:rPr>
              <w:t xml:space="preserve">interface will </w:t>
            </w:r>
            <w:r w:rsidR="00DF0E00">
              <w:rPr>
                <w:color w:val="000000"/>
              </w:rPr>
              <w:t xml:space="preserve">be enhanced to </w:t>
            </w:r>
            <w:r w:rsidR="007C2829">
              <w:rPr>
                <w:color w:val="000000"/>
              </w:rPr>
              <w:t>update</w:t>
            </w:r>
            <w:r w:rsidR="006D49C3">
              <w:rPr>
                <w:color w:val="000000"/>
              </w:rPr>
              <w:t xml:space="preserve"> all related health care </w:t>
            </w:r>
            <w:r>
              <w:rPr>
                <w:color w:val="000000"/>
              </w:rPr>
              <w:t xml:space="preserve">changes including </w:t>
            </w:r>
            <w:r w:rsidR="00DF34AD">
              <w:rPr>
                <w:color w:val="000000"/>
              </w:rPr>
              <w:t>premium</w:t>
            </w:r>
            <w:r>
              <w:rPr>
                <w:color w:val="000000"/>
              </w:rPr>
              <w:t xml:space="preserve"> reward amounts.</w:t>
            </w:r>
            <w:r w:rsidR="006D49C3">
              <w:rPr>
                <w:color w:val="000000"/>
              </w:rPr>
              <w:t xml:space="preserve">  </w:t>
            </w:r>
            <w:r w:rsidR="006D49C3" w:rsidRPr="006D49C3">
              <w:rPr>
                <w:color w:val="000000"/>
              </w:rPr>
              <w:t xml:space="preserve"> </w:t>
            </w:r>
            <w:r w:rsidR="006D49C3">
              <w:rPr>
                <w:color w:val="000000"/>
              </w:rPr>
              <w:t xml:space="preserve">For employees that qualify for the new </w:t>
            </w:r>
            <w:r w:rsidR="00587CEB">
              <w:rPr>
                <w:color w:val="000000"/>
              </w:rPr>
              <w:t>Health Care</w:t>
            </w:r>
            <w:r w:rsidR="006D49C3">
              <w:rPr>
                <w:color w:val="000000"/>
              </w:rPr>
              <w:t xml:space="preserve"> Reward, </w:t>
            </w:r>
            <w:r>
              <w:rPr>
                <w:color w:val="000000"/>
              </w:rPr>
              <w:t>the interface</w:t>
            </w:r>
            <w:r w:rsidR="006D49C3">
              <w:rPr>
                <w:color w:val="000000"/>
              </w:rPr>
              <w:t xml:space="preserve"> will automatically reduce the employee</w:t>
            </w:r>
            <w:r w:rsidR="00DF0E00">
              <w:rPr>
                <w:color w:val="000000"/>
              </w:rPr>
              <w:t>-paid</w:t>
            </w:r>
            <w:r w:rsidR="00DF34AD">
              <w:rPr>
                <w:color w:val="000000"/>
              </w:rPr>
              <w:t xml:space="preserve"> health care premium </w:t>
            </w:r>
            <w:r w:rsidR="008F1713">
              <w:rPr>
                <w:color w:val="000000"/>
              </w:rPr>
              <w:t xml:space="preserve">(deduction 024) </w:t>
            </w:r>
            <w:r w:rsidR="00DF0E00">
              <w:rPr>
                <w:color w:val="000000"/>
              </w:rPr>
              <w:t xml:space="preserve">by the reward amount </w:t>
            </w:r>
            <w:r w:rsidR="006D49C3">
              <w:rPr>
                <w:color w:val="000000"/>
              </w:rPr>
              <w:t xml:space="preserve">and </w:t>
            </w:r>
            <w:r w:rsidR="00DF0E00">
              <w:rPr>
                <w:color w:val="000000"/>
              </w:rPr>
              <w:t>establish</w:t>
            </w:r>
            <w:r w:rsidR="00587CEB">
              <w:rPr>
                <w:color w:val="000000"/>
              </w:rPr>
              <w:t xml:space="preserve"> deduction 025, HC Reward, </w:t>
            </w:r>
            <w:r w:rsidR="00DF0E00">
              <w:rPr>
                <w:color w:val="000000"/>
              </w:rPr>
              <w:t>accordingly</w:t>
            </w:r>
            <w:r w:rsidR="006D49C3">
              <w:rPr>
                <w:color w:val="000000"/>
              </w:rPr>
              <w:t>.</w:t>
            </w:r>
            <w:r w:rsidR="008F1713">
              <w:rPr>
                <w:color w:val="000000"/>
              </w:rPr>
              <w:t xml:space="preserve"> </w:t>
            </w:r>
            <w:r w:rsidR="006D49C3">
              <w:rPr>
                <w:color w:val="000000"/>
              </w:rPr>
              <w:t xml:space="preserve"> </w:t>
            </w:r>
            <w:r w:rsidR="006D49C3" w:rsidRPr="006D49C3">
              <w:rPr>
                <w:color w:val="000000"/>
              </w:rPr>
              <w:t xml:space="preserve">No data entry will be required by agency personnel for </w:t>
            </w:r>
            <w:r w:rsidR="006D49C3">
              <w:rPr>
                <w:color w:val="000000"/>
              </w:rPr>
              <w:t>health care de</w:t>
            </w:r>
            <w:r w:rsidR="00FE1AE1">
              <w:rPr>
                <w:color w:val="000000"/>
              </w:rPr>
              <w:t xml:space="preserve">ductions </w:t>
            </w:r>
            <w:r w:rsidR="006D49C3" w:rsidRPr="006D49C3">
              <w:rPr>
                <w:color w:val="000000"/>
              </w:rPr>
              <w:t>unless an employee is listed on the R</w:t>
            </w:r>
            <w:r w:rsidR="008F1713">
              <w:rPr>
                <w:color w:val="000000"/>
              </w:rPr>
              <w:t>eport</w:t>
            </w:r>
            <w:r w:rsidR="006D49C3" w:rsidRPr="006D49C3">
              <w:rPr>
                <w:color w:val="000000"/>
              </w:rPr>
              <w:t xml:space="preserve"> U130, BES/CIPPS TRANSACTION ERROR LISTING.  Please review all transactions for accuracy.  </w:t>
            </w:r>
          </w:p>
          <w:p w:rsidR="006D49C3" w:rsidRPr="00781905" w:rsidRDefault="006D49C3" w:rsidP="006D49C3">
            <w:pPr>
              <w:ind w:left="162"/>
              <w:rPr>
                <w:color w:val="000000"/>
                <w:sz w:val="16"/>
                <w:szCs w:val="16"/>
              </w:rPr>
            </w:pPr>
          </w:p>
          <w:p w:rsidR="00AA4EEF" w:rsidRDefault="00DF0E00" w:rsidP="006A1493">
            <w:pPr>
              <w:rPr>
                <w:color w:val="000000"/>
              </w:rPr>
            </w:pPr>
            <w:r>
              <w:rPr>
                <w:color w:val="000000"/>
              </w:rPr>
              <w:t>T</w:t>
            </w:r>
            <w:r w:rsidR="00121C51">
              <w:rPr>
                <w:color w:val="000000"/>
              </w:rPr>
              <w:t xml:space="preserve">he U130, </w:t>
            </w:r>
            <w:r w:rsidR="00121C51" w:rsidRPr="006D49C3">
              <w:rPr>
                <w:color w:val="000000"/>
              </w:rPr>
              <w:t>BES/CIPPS TRANSACTION ERROR LISTING</w:t>
            </w:r>
            <w:r w:rsidR="00A24AB2">
              <w:rPr>
                <w:color w:val="000000"/>
              </w:rPr>
              <w:t>,</w:t>
            </w:r>
            <w:r w:rsidR="00121C51">
              <w:rPr>
                <w:color w:val="000000"/>
              </w:rPr>
              <w:t xml:space="preserve"> </w:t>
            </w:r>
            <w:r w:rsidR="00AA4EEF">
              <w:rPr>
                <w:color w:val="000000"/>
              </w:rPr>
              <w:t>and U131</w:t>
            </w:r>
            <w:r w:rsidR="00121C51">
              <w:rPr>
                <w:color w:val="000000"/>
              </w:rPr>
              <w:t>, BES/CIPPS UPDATE LISTING</w:t>
            </w:r>
            <w:r w:rsidR="00A24AB2">
              <w:rPr>
                <w:color w:val="000000"/>
              </w:rPr>
              <w:t>,</w:t>
            </w:r>
            <w:r w:rsidR="00AA4EEF">
              <w:rPr>
                <w:color w:val="000000"/>
              </w:rPr>
              <w:t xml:space="preserve"> have been improved to mirror the </w:t>
            </w:r>
            <w:r w:rsidR="007C2829">
              <w:rPr>
                <w:color w:val="000000"/>
              </w:rPr>
              <w:t xml:space="preserve">format of the </w:t>
            </w:r>
            <w:r w:rsidR="00AA4EEF">
              <w:rPr>
                <w:color w:val="000000"/>
              </w:rPr>
              <w:t>PMIS to CIPPS interface reports.  The U131 now</w:t>
            </w:r>
            <w:r w:rsidR="00121C51">
              <w:rPr>
                <w:color w:val="000000"/>
              </w:rPr>
              <w:t>:</w:t>
            </w:r>
            <w:r w:rsidR="00AA4EEF">
              <w:rPr>
                <w:color w:val="000000"/>
              </w:rPr>
              <w:t xml:space="preserve"> </w:t>
            </w:r>
          </w:p>
          <w:p w:rsidR="008F1713" w:rsidRPr="00781905" w:rsidRDefault="008F1713" w:rsidP="006D49C3">
            <w:pPr>
              <w:ind w:left="162"/>
              <w:rPr>
                <w:color w:val="000000"/>
                <w:sz w:val="16"/>
                <w:szCs w:val="16"/>
              </w:rPr>
            </w:pPr>
          </w:p>
          <w:p w:rsidR="00AA4EEF" w:rsidRDefault="00AA4EEF" w:rsidP="00AA4EEF">
            <w:pPr>
              <w:pStyle w:val="ListParagraph"/>
              <w:numPr>
                <w:ilvl w:val="0"/>
                <w:numId w:val="3"/>
              </w:numPr>
              <w:rPr>
                <w:color w:val="000000"/>
              </w:rPr>
            </w:pPr>
            <w:r>
              <w:rPr>
                <w:color w:val="000000"/>
              </w:rPr>
              <w:t>Sorts and page</w:t>
            </w:r>
            <w:r w:rsidR="00A24AB2">
              <w:rPr>
                <w:color w:val="000000"/>
              </w:rPr>
              <w:t>-</w:t>
            </w:r>
            <w:r>
              <w:rPr>
                <w:color w:val="000000"/>
              </w:rPr>
              <w:t>breaks by the BES transaction effective date, as well as</w:t>
            </w:r>
          </w:p>
          <w:p w:rsidR="00611577" w:rsidRPr="00211FBE" w:rsidRDefault="00DF0E00" w:rsidP="006A1493">
            <w:pPr>
              <w:pStyle w:val="ListParagraph"/>
              <w:numPr>
                <w:ilvl w:val="0"/>
                <w:numId w:val="3"/>
              </w:numPr>
              <w:rPr>
                <w:color w:val="000000"/>
              </w:rPr>
            </w:pPr>
            <w:r>
              <w:rPr>
                <w:color w:val="000000"/>
              </w:rPr>
              <w:t>I</w:t>
            </w:r>
            <w:r w:rsidR="00AA4EEF" w:rsidRPr="00AA4EEF">
              <w:rPr>
                <w:color w:val="000000"/>
              </w:rPr>
              <w:t>ndicates which transactions are retroactive</w:t>
            </w:r>
            <w:r w:rsidR="00AA4EEF">
              <w:rPr>
                <w:color w:val="000000"/>
              </w:rPr>
              <w:t xml:space="preserve"> and may need manual action and/or adjustments</w:t>
            </w:r>
            <w:r w:rsidR="007B151F">
              <w:rPr>
                <w:color w:val="000000"/>
              </w:rPr>
              <w:t xml:space="preserve"> (</w:t>
            </w:r>
            <w:r>
              <w:rPr>
                <w:color w:val="000000"/>
              </w:rPr>
              <w:t xml:space="preserve">e.g., </w:t>
            </w:r>
            <w:r w:rsidR="007B151F">
              <w:rPr>
                <w:color w:val="000000"/>
              </w:rPr>
              <w:t>retroactive deducti</w:t>
            </w:r>
            <w:r>
              <w:rPr>
                <w:color w:val="000000"/>
              </w:rPr>
              <w:t>ons</w:t>
            </w:r>
            <w:r w:rsidR="007B151F">
              <w:rPr>
                <w:color w:val="000000"/>
              </w:rPr>
              <w:t>).</w:t>
            </w:r>
            <w:r w:rsidR="00AA4EEF">
              <w:rPr>
                <w:color w:val="000000"/>
              </w:rPr>
              <w:t xml:space="preserve"> </w:t>
            </w:r>
          </w:p>
        </w:tc>
      </w:tr>
    </w:tbl>
    <w:p w:rsidR="003F67A3" w:rsidRDefault="003F67A3" w:rsidP="003F67A3">
      <w:r>
        <w:br w:type="page"/>
      </w:r>
    </w:p>
    <w:p w:rsidR="00B65B4E" w:rsidRDefault="00B65B4E" w:rsidP="00B65B4E">
      <w:pPr>
        <w:pStyle w:val="Heading4"/>
        <w:spacing w:after="0"/>
        <w:rPr>
          <w:rFonts w:ascii="Times New Roman" w:hAnsi="Times New Roman"/>
          <w:b/>
          <w:sz w:val="28"/>
          <w:szCs w:val="28"/>
        </w:rPr>
      </w:pPr>
      <w:r>
        <w:rPr>
          <w:rFonts w:ascii="Times New Roman" w:hAnsi="Times New Roman"/>
          <w:b/>
          <w:sz w:val="28"/>
          <w:szCs w:val="28"/>
        </w:rPr>
        <w:lastRenderedPageBreak/>
        <w:t xml:space="preserve">Health Care/Automated Update Changes for July 1, 2013, </w:t>
      </w:r>
      <w:r w:rsidRPr="00B65B4E">
        <w:rPr>
          <w:rFonts w:ascii="Times New Roman" w:hAnsi="Times New Roman"/>
          <w:sz w:val="28"/>
          <w:szCs w:val="28"/>
        </w:rPr>
        <w:t>continued</w:t>
      </w:r>
    </w:p>
    <w:p w:rsidR="00B65B4E" w:rsidRPr="00C50FDD" w:rsidRDefault="00B65B4E" w:rsidP="00B65B4E">
      <w:pPr>
        <w:pStyle w:val="BlockLine"/>
        <w:ind w:left="1620"/>
        <w:rPr>
          <w:sz w:val="16"/>
          <w:szCs w:val="16"/>
        </w:rPr>
      </w:pPr>
    </w:p>
    <w:tbl>
      <w:tblPr>
        <w:tblW w:w="10188" w:type="dxa"/>
        <w:tblLayout w:type="fixed"/>
        <w:tblLook w:val="0000"/>
      </w:tblPr>
      <w:tblGrid>
        <w:gridCol w:w="1728"/>
        <w:gridCol w:w="8460"/>
      </w:tblGrid>
      <w:tr w:rsidR="007B4814" w:rsidTr="0015455A">
        <w:trPr>
          <w:cantSplit/>
        </w:trPr>
        <w:tc>
          <w:tcPr>
            <w:tcW w:w="1728" w:type="dxa"/>
          </w:tcPr>
          <w:p w:rsidR="00121C51" w:rsidRPr="00121C51" w:rsidRDefault="008F1713" w:rsidP="00121C51">
            <w:r w:rsidRPr="004415DE">
              <w:rPr>
                <w:b/>
                <w:sz w:val="22"/>
                <w:szCs w:val="22"/>
              </w:rPr>
              <w:t>Manual Health Care Data Ent</w:t>
            </w:r>
            <w:r>
              <w:t>ry</w:t>
            </w:r>
          </w:p>
        </w:tc>
        <w:tc>
          <w:tcPr>
            <w:tcW w:w="8460" w:type="dxa"/>
          </w:tcPr>
          <w:p w:rsidR="00611577" w:rsidRDefault="00107430" w:rsidP="00611577">
            <w:pPr>
              <w:ind w:left="162"/>
              <w:rPr>
                <w:color w:val="000000"/>
              </w:rPr>
            </w:pPr>
            <w:r>
              <w:rPr>
                <w:color w:val="000000"/>
              </w:rPr>
              <w:t>All agencies are encouraged</w:t>
            </w:r>
            <w:r w:rsidR="00611577">
              <w:rPr>
                <w:color w:val="000000"/>
              </w:rPr>
              <w:t xml:space="preserve"> to allow the BES interface to update CIPPS at all times.  However, should an event occur that requires manual </w:t>
            </w:r>
            <w:r w:rsidR="008F1713">
              <w:rPr>
                <w:color w:val="000000"/>
              </w:rPr>
              <w:t>data e</w:t>
            </w:r>
            <w:r w:rsidR="00611577">
              <w:rPr>
                <w:color w:val="000000"/>
              </w:rPr>
              <w:t>ntry</w:t>
            </w:r>
            <w:r w:rsidR="00FA0761">
              <w:rPr>
                <w:color w:val="000000"/>
              </w:rPr>
              <w:t>,</w:t>
            </w:r>
            <w:r w:rsidR="00611577">
              <w:rPr>
                <w:color w:val="000000"/>
              </w:rPr>
              <w:t xml:space="preserve"> enter the health care provider and </w:t>
            </w:r>
            <w:r w:rsidR="008F1713">
              <w:rPr>
                <w:color w:val="000000"/>
              </w:rPr>
              <w:t>membership</w:t>
            </w:r>
            <w:r w:rsidR="00611577">
              <w:rPr>
                <w:color w:val="000000"/>
              </w:rPr>
              <w:t xml:space="preserve"> codes on HMCU1 and then access H0ZDC to verify the amounts for deductions 024 (employee-paid premium) and 026 (agency-paid premium).   If the employee qualified to have the Health Care Reward, you will need to go to a blank line and insert deduction 025, the </w:t>
            </w:r>
            <w:r w:rsidR="008F1713">
              <w:rPr>
                <w:color w:val="000000"/>
              </w:rPr>
              <w:t xml:space="preserve">pay period </w:t>
            </w:r>
            <w:r w:rsidR="00611577">
              <w:rPr>
                <w:color w:val="000000"/>
              </w:rPr>
              <w:t>reward amount and frequency 09, and then reduce deduction 024 by that same amount.  The amounts reflected on the U130 are per pay period amounts.</w:t>
            </w:r>
          </w:p>
          <w:p w:rsidR="00611577" w:rsidRDefault="00611577" w:rsidP="00611577">
            <w:pPr>
              <w:ind w:left="162"/>
              <w:rPr>
                <w:color w:val="000000"/>
              </w:rPr>
            </w:pPr>
          </w:p>
          <w:p w:rsidR="007B4814" w:rsidRDefault="00611577" w:rsidP="00611577">
            <w:pPr>
              <w:ind w:left="162"/>
            </w:pPr>
            <w:r>
              <w:rPr>
                <w:noProof/>
                <w:color w:val="000000"/>
              </w:rPr>
              <w:drawing>
                <wp:inline distT="0" distB="0" distL="0" distR="0">
                  <wp:extent cx="3897630" cy="2924597"/>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7630" cy="2924597"/>
                          </a:xfrm>
                          <a:prstGeom prst="rect">
                            <a:avLst/>
                          </a:prstGeom>
                          <a:noFill/>
                          <a:ln w="9525">
                            <a:noFill/>
                            <a:miter lim="800000"/>
                            <a:headEnd/>
                            <a:tailEnd/>
                          </a:ln>
                        </pic:spPr>
                      </pic:pic>
                    </a:graphicData>
                  </a:graphic>
                </wp:inline>
              </w:drawing>
            </w:r>
          </w:p>
        </w:tc>
      </w:tr>
    </w:tbl>
    <w:p w:rsidR="00FA490C" w:rsidRDefault="00FA490C" w:rsidP="00FA490C">
      <w:pPr>
        <w:pStyle w:val="BlockLine"/>
        <w:ind w:left="1620"/>
        <w:rPr>
          <w:sz w:val="16"/>
          <w:szCs w:val="16"/>
        </w:rPr>
      </w:pPr>
    </w:p>
    <w:tbl>
      <w:tblPr>
        <w:tblW w:w="10188" w:type="dxa"/>
        <w:tblLayout w:type="fixed"/>
        <w:tblLook w:val="0000"/>
      </w:tblPr>
      <w:tblGrid>
        <w:gridCol w:w="1728"/>
        <w:gridCol w:w="8460"/>
      </w:tblGrid>
      <w:tr w:rsidR="00611577" w:rsidTr="00833288">
        <w:trPr>
          <w:cantSplit/>
        </w:trPr>
        <w:tc>
          <w:tcPr>
            <w:tcW w:w="1728" w:type="dxa"/>
          </w:tcPr>
          <w:p w:rsidR="00611577" w:rsidRPr="00121C51" w:rsidRDefault="00611577" w:rsidP="00BD4EE4">
            <w:pPr>
              <w:pStyle w:val="Heading5"/>
              <w:rPr>
                <w:szCs w:val="22"/>
              </w:rPr>
            </w:pPr>
            <w:r w:rsidRPr="00121C51">
              <w:rPr>
                <w:szCs w:val="22"/>
              </w:rPr>
              <w:t xml:space="preserve">Monthly </w:t>
            </w:r>
          </w:p>
          <w:p w:rsidR="00611577" w:rsidRPr="00121C51" w:rsidRDefault="00611577" w:rsidP="00BD4EE4">
            <w:pPr>
              <w:rPr>
                <w:b/>
                <w:sz w:val="22"/>
                <w:szCs w:val="22"/>
              </w:rPr>
            </w:pPr>
            <w:r w:rsidRPr="00121C51">
              <w:rPr>
                <w:b/>
                <w:sz w:val="22"/>
                <w:szCs w:val="22"/>
              </w:rPr>
              <w:t>Health</w:t>
            </w:r>
          </w:p>
          <w:p w:rsidR="00611577" w:rsidRPr="00121C51" w:rsidRDefault="00611577" w:rsidP="00BD4EE4">
            <w:pPr>
              <w:rPr>
                <w:b/>
                <w:sz w:val="22"/>
                <w:szCs w:val="22"/>
              </w:rPr>
            </w:pPr>
            <w:r w:rsidRPr="00121C51">
              <w:rPr>
                <w:b/>
                <w:sz w:val="22"/>
                <w:szCs w:val="22"/>
              </w:rPr>
              <w:t>Care</w:t>
            </w:r>
          </w:p>
          <w:p w:rsidR="00611577" w:rsidRPr="00121C51" w:rsidRDefault="00611577" w:rsidP="00BD4EE4">
            <w:r w:rsidRPr="00121C51">
              <w:rPr>
                <w:b/>
                <w:sz w:val="22"/>
                <w:szCs w:val="22"/>
              </w:rPr>
              <w:t>Recon</w:t>
            </w:r>
          </w:p>
        </w:tc>
        <w:tc>
          <w:tcPr>
            <w:tcW w:w="8460" w:type="dxa"/>
          </w:tcPr>
          <w:p w:rsidR="006D5014" w:rsidRDefault="004415DE" w:rsidP="006D5014">
            <w:pPr>
              <w:ind w:left="162"/>
              <w:rPr>
                <w:color w:val="000000"/>
              </w:rPr>
            </w:pPr>
            <w:r>
              <w:rPr>
                <w:color w:val="000000"/>
              </w:rPr>
              <w:t>In order to monitor the premium amounts covered by the HIF DOA will provide</w:t>
            </w:r>
            <w:r w:rsidR="00611577">
              <w:rPr>
                <w:color w:val="000000"/>
              </w:rPr>
              <w:t xml:space="preserve"> DHRM </w:t>
            </w:r>
            <w:r>
              <w:rPr>
                <w:color w:val="000000"/>
              </w:rPr>
              <w:t xml:space="preserve">a </w:t>
            </w:r>
            <w:r w:rsidR="00315F57">
              <w:rPr>
                <w:color w:val="000000"/>
              </w:rPr>
              <w:t xml:space="preserve">monthly </w:t>
            </w:r>
            <w:r w:rsidR="00611577">
              <w:rPr>
                <w:color w:val="000000"/>
              </w:rPr>
              <w:t>file of the health care amounts</w:t>
            </w:r>
            <w:r>
              <w:rPr>
                <w:color w:val="000000"/>
              </w:rPr>
              <w:t xml:space="preserve"> collected by deduction for each employee.  These will be compared to the </w:t>
            </w:r>
            <w:r w:rsidR="00611577">
              <w:rPr>
                <w:color w:val="000000"/>
              </w:rPr>
              <w:t xml:space="preserve">BES </w:t>
            </w:r>
            <w:r>
              <w:rPr>
                <w:color w:val="000000"/>
              </w:rPr>
              <w:t xml:space="preserve">employee record and variances reported on a DHRM report - </w:t>
            </w:r>
            <w:r w:rsidRPr="004415DE">
              <w:rPr>
                <w:color w:val="000000"/>
              </w:rPr>
              <w:t>PREMIUM REWARD DISCREPANCIES</w:t>
            </w:r>
            <w:r>
              <w:rPr>
                <w:color w:val="000000"/>
              </w:rPr>
              <w:t xml:space="preserve">.  </w:t>
            </w:r>
            <w:r w:rsidR="006D5014" w:rsidRPr="006D5014">
              <w:rPr>
                <w:i/>
                <w:color w:val="000000"/>
              </w:rPr>
              <w:t>The primary purpose of this report is to ensure the amount covered by the HIF matches that which has been approved.</w:t>
            </w:r>
            <w:r w:rsidR="006D5014">
              <w:rPr>
                <w:color w:val="000000"/>
              </w:rPr>
              <w:t xml:space="preserve">  </w:t>
            </w:r>
            <w:r>
              <w:rPr>
                <w:color w:val="000000"/>
              </w:rPr>
              <w:t>This report will be placed in each agency’s folder in DHRM’s repository</w:t>
            </w:r>
            <w:r w:rsidR="006D5014">
              <w:rPr>
                <w:color w:val="000000"/>
              </w:rPr>
              <w:t xml:space="preserve"> within the first couple of work days of each month</w:t>
            </w:r>
            <w:r>
              <w:rPr>
                <w:color w:val="000000"/>
              </w:rPr>
              <w:t>.</w:t>
            </w:r>
          </w:p>
          <w:p w:rsidR="006D5014" w:rsidRDefault="006D5014" w:rsidP="006D5014">
            <w:pPr>
              <w:ind w:left="162"/>
              <w:rPr>
                <w:color w:val="000000"/>
              </w:rPr>
            </w:pPr>
          </w:p>
          <w:p w:rsidR="00611577" w:rsidRDefault="004415DE" w:rsidP="006D5014">
            <w:pPr>
              <w:ind w:left="162"/>
            </w:pPr>
            <w:r>
              <w:rPr>
                <w:color w:val="000000"/>
              </w:rPr>
              <w:t xml:space="preserve">As part of the monthly Health Care Reconciliation procedure this report must be printed, reviewed, signed by the Fiscal Officer, and </w:t>
            </w:r>
            <w:r w:rsidRPr="006D5014">
              <w:rPr>
                <w:i/>
                <w:color w:val="000000"/>
              </w:rPr>
              <w:t xml:space="preserve">submitted </w:t>
            </w:r>
            <w:r w:rsidR="006D5014" w:rsidRPr="006D5014">
              <w:rPr>
                <w:i/>
                <w:color w:val="000000"/>
              </w:rPr>
              <w:t xml:space="preserve">along </w:t>
            </w:r>
            <w:r w:rsidRPr="006D5014">
              <w:rPr>
                <w:i/>
                <w:color w:val="000000"/>
              </w:rPr>
              <w:t>with the monthly Health Care Reconciliation certification.</w:t>
            </w:r>
            <w:r w:rsidR="00611577">
              <w:rPr>
                <w:color w:val="000000"/>
              </w:rPr>
              <w:t xml:space="preserve"> </w:t>
            </w:r>
            <w:r>
              <w:rPr>
                <w:color w:val="000000"/>
              </w:rPr>
              <w:t xml:space="preserve"> </w:t>
            </w:r>
            <w:r w:rsidR="006D5014">
              <w:rPr>
                <w:color w:val="000000"/>
              </w:rPr>
              <w:t>Absence of this report or the Fiscal Officer’s signature will constitute an incomplete submission.</w:t>
            </w:r>
          </w:p>
        </w:tc>
      </w:tr>
    </w:tbl>
    <w:p w:rsidR="00611577" w:rsidRDefault="00611577" w:rsidP="00611577">
      <w:pPr>
        <w:pStyle w:val="BlockLine"/>
        <w:ind w:left="1620"/>
        <w:rPr>
          <w:sz w:val="16"/>
          <w:szCs w:val="16"/>
        </w:rPr>
      </w:pPr>
    </w:p>
    <w:p w:rsidR="00B65B4E" w:rsidRDefault="00B65B4E">
      <w:pPr>
        <w:rPr>
          <w:b/>
          <w:sz w:val="28"/>
          <w:szCs w:val="28"/>
        </w:rPr>
      </w:pPr>
      <w:r>
        <w:rPr>
          <w:b/>
          <w:sz w:val="28"/>
          <w:szCs w:val="28"/>
        </w:rPr>
        <w:br w:type="page"/>
      </w:r>
    </w:p>
    <w:p w:rsidR="00B65B4E" w:rsidRDefault="00B65B4E" w:rsidP="00B65B4E">
      <w:pPr>
        <w:pStyle w:val="Heading4"/>
        <w:spacing w:after="0"/>
        <w:rPr>
          <w:rFonts w:ascii="Times New Roman" w:hAnsi="Times New Roman"/>
          <w:b/>
          <w:sz w:val="28"/>
          <w:szCs w:val="28"/>
        </w:rPr>
      </w:pPr>
      <w:r>
        <w:rPr>
          <w:rFonts w:ascii="Times New Roman" w:hAnsi="Times New Roman"/>
          <w:b/>
          <w:sz w:val="28"/>
          <w:szCs w:val="28"/>
        </w:rPr>
        <w:t>Change in Utility Field for Pre</w:t>
      </w:r>
      <w:r w:rsidR="00214179">
        <w:rPr>
          <w:rFonts w:ascii="Times New Roman" w:hAnsi="Times New Roman"/>
          <w:b/>
          <w:sz w:val="28"/>
          <w:szCs w:val="28"/>
        </w:rPr>
        <w:t>-</w:t>
      </w:r>
      <w:r>
        <w:rPr>
          <w:rFonts w:ascii="Times New Roman" w:hAnsi="Times New Roman"/>
          <w:b/>
          <w:sz w:val="28"/>
          <w:szCs w:val="28"/>
        </w:rPr>
        <w:t>tax Deductions</w:t>
      </w:r>
    </w:p>
    <w:p w:rsidR="00B65B4E" w:rsidRPr="00C50FDD" w:rsidRDefault="00B65B4E" w:rsidP="00B65B4E">
      <w:pPr>
        <w:pStyle w:val="BlockLine"/>
        <w:ind w:left="1620"/>
        <w:rPr>
          <w:sz w:val="16"/>
          <w:szCs w:val="16"/>
        </w:rPr>
      </w:pPr>
    </w:p>
    <w:tbl>
      <w:tblPr>
        <w:tblW w:w="10188" w:type="dxa"/>
        <w:tblLayout w:type="fixed"/>
        <w:tblLook w:val="0000"/>
      </w:tblPr>
      <w:tblGrid>
        <w:gridCol w:w="1728"/>
        <w:gridCol w:w="8460"/>
      </w:tblGrid>
      <w:tr w:rsidR="00611577" w:rsidTr="0006095F">
        <w:trPr>
          <w:cantSplit/>
        </w:trPr>
        <w:tc>
          <w:tcPr>
            <w:tcW w:w="1728" w:type="dxa"/>
          </w:tcPr>
          <w:p w:rsidR="00611577" w:rsidRPr="006D5014" w:rsidRDefault="006D5014" w:rsidP="00BD4EE4">
            <w:pPr>
              <w:rPr>
                <w:b/>
                <w:sz w:val="22"/>
                <w:szCs w:val="22"/>
              </w:rPr>
            </w:pPr>
            <w:r w:rsidRPr="006D5014">
              <w:rPr>
                <w:b/>
                <w:sz w:val="22"/>
                <w:szCs w:val="22"/>
              </w:rPr>
              <w:t>Change to Pre-tax Deduction Utility Fields</w:t>
            </w:r>
          </w:p>
        </w:tc>
        <w:tc>
          <w:tcPr>
            <w:tcW w:w="8460" w:type="dxa"/>
          </w:tcPr>
          <w:p w:rsidR="00611577" w:rsidRDefault="006D5014" w:rsidP="00722E47">
            <w:pPr>
              <w:ind w:left="-18"/>
            </w:pPr>
            <w:r>
              <w:rPr>
                <w:color w:val="000000"/>
              </w:rPr>
              <w:t>A</w:t>
            </w:r>
            <w:r w:rsidR="00611577" w:rsidRPr="006D49C3">
              <w:rPr>
                <w:color w:val="000000"/>
              </w:rPr>
              <w:t xml:space="preserve">s the result of changes in CIPPS </w:t>
            </w:r>
            <w:r>
              <w:rPr>
                <w:color w:val="000000"/>
              </w:rPr>
              <w:t xml:space="preserve">effective 7/1/2013 </w:t>
            </w:r>
            <w:r w:rsidR="00611577" w:rsidRPr="006D49C3">
              <w:rPr>
                <w:color w:val="000000"/>
              </w:rPr>
              <w:t xml:space="preserve">the utility field </w:t>
            </w:r>
            <w:r>
              <w:rPr>
                <w:color w:val="000000"/>
              </w:rPr>
              <w:t>will</w:t>
            </w:r>
            <w:r w:rsidR="00611577" w:rsidRPr="006D49C3">
              <w:rPr>
                <w:color w:val="000000"/>
              </w:rPr>
              <w:t xml:space="preserve"> no longer </w:t>
            </w:r>
            <w:r>
              <w:rPr>
                <w:color w:val="000000"/>
              </w:rPr>
              <w:t xml:space="preserve">be </w:t>
            </w:r>
            <w:r w:rsidR="00611577" w:rsidRPr="006D49C3">
              <w:rPr>
                <w:color w:val="000000"/>
              </w:rPr>
              <w:t xml:space="preserve">required to be populated to </w:t>
            </w:r>
            <w:r>
              <w:rPr>
                <w:color w:val="000000"/>
              </w:rPr>
              <w:t xml:space="preserve">invoke a pre-tax </w:t>
            </w:r>
            <w:r w:rsidR="0006095F">
              <w:rPr>
                <w:color w:val="000000"/>
              </w:rPr>
              <w:t>treatment</w:t>
            </w:r>
            <w:r>
              <w:rPr>
                <w:color w:val="000000"/>
              </w:rPr>
              <w:t xml:space="preserve"> for non-pension related </w:t>
            </w:r>
            <w:r w:rsidR="00611577" w:rsidRPr="006D49C3">
              <w:rPr>
                <w:color w:val="000000"/>
              </w:rPr>
              <w:t>pre-tax</w:t>
            </w:r>
            <w:r>
              <w:rPr>
                <w:color w:val="000000"/>
              </w:rPr>
              <w:t xml:space="preserve"> deductions (</w:t>
            </w:r>
            <w:proofErr w:type="spellStart"/>
            <w:r>
              <w:rPr>
                <w:color w:val="000000"/>
              </w:rPr>
              <w:t>e.g</w:t>
            </w:r>
            <w:proofErr w:type="spellEnd"/>
            <w:r>
              <w:rPr>
                <w:color w:val="000000"/>
              </w:rPr>
              <w:t>, Premium Conversion-024, Flex Spending-021, 022, 023, Parking-050)</w:t>
            </w:r>
            <w:r w:rsidR="00611577" w:rsidRPr="006D49C3">
              <w:rPr>
                <w:color w:val="000000"/>
              </w:rPr>
              <w:t xml:space="preserve">.  </w:t>
            </w:r>
            <w:r w:rsidR="006A1493">
              <w:rPr>
                <w:color w:val="000000"/>
              </w:rPr>
              <w:t>While t</w:t>
            </w:r>
            <w:r w:rsidR="00611577" w:rsidRPr="006D49C3">
              <w:rPr>
                <w:color w:val="000000"/>
              </w:rPr>
              <w:t>he utility field</w:t>
            </w:r>
            <w:r>
              <w:rPr>
                <w:color w:val="000000"/>
              </w:rPr>
              <w:t>s</w:t>
            </w:r>
            <w:r w:rsidR="00611577" w:rsidRPr="006D49C3">
              <w:rPr>
                <w:color w:val="000000"/>
              </w:rPr>
              <w:t xml:space="preserve"> will be updated to reflect all zeros</w:t>
            </w:r>
            <w:r w:rsidR="006A1493">
              <w:rPr>
                <w:color w:val="000000"/>
              </w:rPr>
              <w:t xml:space="preserve"> these deductions will continue to be pre-tax</w:t>
            </w:r>
            <w:r w:rsidR="00611577" w:rsidRPr="006D49C3">
              <w:rPr>
                <w:color w:val="000000"/>
              </w:rPr>
              <w:t xml:space="preserve">.  </w:t>
            </w:r>
            <w:r>
              <w:rPr>
                <w:color w:val="000000"/>
              </w:rPr>
              <w:t>T</w:t>
            </w:r>
            <w:r w:rsidR="00611577" w:rsidRPr="006D49C3">
              <w:rPr>
                <w:color w:val="000000"/>
              </w:rPr>
              <w:t xml:space="preserve">his </w:t>
            </w:r>
            <w:r>
              <w:rPr>
                <w:color w:val="000000"/>
              </w:rPr>
              <w:t xml:space="preserve">is not true for pension-related deductions such as </w:t>
            </w:r>
            <w:r w:rsidR="00B65B4E">
              <w:rPr>
                <w:color w:val="000000"/>
              </w:rPr>
              <w:t>employee-paid retirement (012) or buybacks (043)</w:t>
            </w:r>
            <w:r w:rsidR="00611577" w:rsidRPr="006D49C3">
              <w:rPr>
                <w:color w:val="000000"/>
              </w:rPr>
              <w:t>.</w:t>
            </w:r>
          </w:p>
        </w:tc>
      </w:tr>
    </w:tbl>
    <w:p w:rsidR="00611577" w:rsidRDefault="00611577" w:rsidP="00611577">
      <w:pPr>
        <w:pStyle w:val="BlockLine"/>
        <w:ind w:left="1620"/>
        <w:rPr>
          <w:sz w:val="16"/>
          <w:szCs w:val="16"/>
        </w:rPr>
      </w:pPr>
    </w:p>
    <w:p w:rsidR="00310A2A" w:rsidRDefault="00310A2A" w:rsidP="00310A2A">
      <w:pPr>
        <w:pStyle w:val="Heading4"/>
        <w:spacing w:after="0"/>
        <w:rPr>
          <w:rFonts w:ascii="Times New Roman" w:hAnsi="Times New Roman"/>
          <w:b/>
          <w:sz w:val="28"/>
          <w:szCs w:val="28"/>
        </w:rPr>
      </w:pPr>
      <w:r>
        <w:rPr>
          <w:rFonts w:ascii="Times New Roman" w:hAnsi="Times New Roman"/>
          <w:b/>
          <w:sz w:val="28"/>
          <w:szCs w:val="28"/>
        </w:rPr>
        <w:t>Optional Group Life Rate Changes</w:t>
      </w:r>
    </w:p>
    <w:p w:rsidR="00310A2A" w:rsidRPr="00C50FDD" w:rsidRDefault="00310A2A" w:rsidP="00310A2A">
      <w:pPr>
        <w:pStyle w:val="BlockLine"/>
        <w:ind w:left="1620"/>
        <w:rPr>
          <w:sz w:val="16"/>
          <w:szCs w:val="16"/>
        </w:rPr>
      </w:pPr>
    </w:p>
    <w:tbl>
      <w:tblPr>
        <w:tblW w:w="10188" w:type="dxa"/>
        <w:tblLayout w:type="fixed"/>
        <w:tblLook w:val="0000"/>
      </w:tblPr>
      <w:tblGrid>
        <w:gridCol w:w="1728"/>
        <w:gridCol w:w="8460"/>
      </w:tblGrid>
      <w:tr w:rsidR="00310A2A" w:rsidTr="00F34BD4">
        <w:trPr>
          <w:cantSplit/>
        </w:trPr>
        <w:tc>
          <w:tcPr>
            <w:tcW w:w="1728" w:type="dxa"/>
          </w:tcPr>
          <w:p w:rsidR="00310A2A" w:rsidRPr="006D5014" w:rsidRDefault="00310A2A" w:rsidP="00BD4EE4">
            <w:pPr>
              <w:rPr>
                <w:b/>
                <w:sz w:val="22"/>
                <w:szCs w:val="22"/>
              </w:rPr>
            </w:pPr>
            <w:r>
              <w:rPr>
                <w:b/>
                <w:sz w:val="22"/>
                <w:szCs w:val="22"/>
              </w:rPr>
              <w:t>Mid-year Rate Reduction</w:t>
            </w:r>
          </w:p>
        </w:tc>
        <w:tc>
          <w:tcPr>
            <w:tcW w:w="8460" w:type="dxa"/>
          </w:tcPr>
          <w:p w:rsidR="00310A2A" w:rsidRPr="003B75D4" w:rsidRDefault="00310A2A" w:rsidP="00310A2A">
            <w:pPr>
              <w:tabs>
                <w:tab w:val="left" w:pos="2400"/>
              </w:tabs>
            </w:pPr>
            <w:r>
              <w:t xml:space="preserve">Effective </w:t>
            </w:r>
            <w:r w:rsidRPr="003B75D4">
              <w:t xml:space="preserve">July 1, </w:t>
            </w:r>
            <w:r>
              <w:t>201</w:t>
            </w:r>
            <w:r w:rsidR="006A3C0D">
              <w:t>3</w:t>
            </w:r>
            <w:r w:rsidR="009C52A1">
              <w:t>,</w:t>
            </w:r>
            <w:r w:rsidR="006A3C0D">
              <w:t xml:space="preserve"> (</w:t>
            </w:r>
            <w:r w:rsidRPr="003B75D4">
              <w:t>July 1</w:t>
            </w:r>
            <w:r w:rsidR="006A3C0D">
              <w:t>6</w:t>
            </w:r>
            <w:r w:rsidRPr="003B75D4">
              <w:t xml:space="preserve">, </w:t>
            </w:r>
            <w:r>
              <w:t>201</w:t>
            </w:r>
            <w:r w:rsidR="006A3C0D">
              <w:t>3</w:t>
            </w:r>
            <w:r w:rsidRPr="003B75D4">
              <w:t xml:space="preserve"> payday) </w:t>
            </w:r>
            <w:r>
              <w:t xml:space="preserve">the Optional Group Life rates for the three age brackets shown below </w:t>
            </w:r>
            <w:r w:rsidRPr="003B75D4">
              <w:t xml:space="preserve">will be reduced.  The rates </w:t>
            </w:r>
            <w:r>
              <w:t xml:space="preserve">will continue to be </w:t>
            </w:r>
            <w:r w:rsidRPr="003B75D4">
              <w:t xml:space="preserve">based on the </w:t>
            </w:r>
            <w:r>
              <w:t xml:space="preserve">salary of the member and the </w:t>
            </w:r>
            <w:r w:rsidRPr="003B75D4">
              <w:t xml:space="preserve">age of the member or spouse </w:t>
            </w:r>
            <w:r>
              <w:t xml:space="preserve">as of </w:t>
            </w:r>
            <w:r w:rsidR="006A3C0D">
              <w:t>January 1, 2013.</w:t>
            </w:r>
            <w:r w:rsidRPr="003B75D4">
              <w:t xml:space="preserve">  </w:t>
            </w:r>
          </w:p>
          <w:p w:rsidR="00310A2A" w:rsidRDefault="00310A2A" w:rsidP="00310A2A">
            <w:pPr>
              <w:tabs>
                <w:tab w:val="left" w:pos="2400"/>
              </w:tabs>
              <w:rPr>
                <w:sz w:val="16"/>
                <w:szCs w:val="16"/>
              </w:rPr>
            </w:pPr>
          </w:p>
          <w:p w:rsidR="00310A2A" w:rsidRPr="005411C2" w:rsidRDefault="00310A2A" w:rsidP="00310A2A">
            <w:pPr>
              <w:rPr>
                <w:rFonts w:ascii="Calibri" w:hAnsi="Calibri"/>
                <w:sz w:val="22"/>
                <w:szCs w:val="22"/>
              </w:rPr>
            </w:pPr>
            <w:r w:rsidRPr="005411C2">
              <w:rPr>
                <w:rFonts w:ascii="Calibri" w:hAnsi="Calibri"/>
                <w:sz w:val="22"/>
                <w:szCs w:val="22"/>
              </w:rPr>
              <w:t>Age 3</w:t>
            </w:r>
            <w:r w:rsidR="006A3C0D">
              <w:rPr>
                <w:rFonts w:ascii="Calibri" w:hAnsi="Calibri"/>
                <w:sz w:val="22"/>
                <w:szCs w:val="22"/>
              </w:rPr>
              <w:t>5</w:t>
            </w:r>
            <w:r w:rsidRPr="005411C2">
              <w:rPr>
                <w:rFonts w:ascii="Calibri" w:hAnsi="Calibri"/>
                <w:sz w:val="22"/>
                <w:szCs w:val="22"/>
              </w:rPr>
              <w:t xml:space="preserve"> – 3</w:t>
            </w:r>
            <w:r w:rsidR="006A3C0D">
              <w:rPr>
                <w:rFonts w:ascii="Calibri" w:hAnsi="Calibri"/>
                <w:sz w:val="22"/>
                <w:szCs w:val="22"/>
              </w:rPr>
              <w:t>9</w:t>
            </w:r>
            <w:r w:rsidRPr="005411C2">
              <w:rPr>
                <w:rFonts w:ascii="Calibri" w:hAnsi="Calibri"/>
                <w:sz w:val="22"/>
                <w:szCs w:val="22"/>
              </w:rPr>
              <w:t xml:space="preserve">   Reduced $0.01 from $0.0</w:t>
            </w:r>
            <w:r w:rsidR="006A3C0D">
              <w:rPr>
                <w:rFonts w:ascii="Calibri" w:hAnsi="Calibri"/>
                <w:sz w:val="22"/>
                <w:szCs w:val="22"/>
              </w:rPr>
              <w:t>8</w:t>
            </w:r>
            <w:r w:rsidRPr="005411C2">
              <w:rPr>
                <w:rFonts w:ascii="Calibri" w:hAnsi="Calibri"/>
                <w:sz w:val="22"/>
                <w:szCs w:val="22"/>
              </w:rPr>
              <w:t xml:space="preserve"> to $0.0</w:t>
            </w:r>
            <w:r w:rsidR="006A3C0D">
              <w:rPr>
                <w:rFonts w:ascii="Calibri" w:hAnsi="Calibri"/>
                <w:sz w:val="22"/>
                <w:szCs w:val="22"/>
              </w:rPr>
              <w:t>7</w:t>
            </w:r>
            <w:r w:rsidRPr="005411C2">
              <w:rPr>
                <w:rFonts w:ascii="Calibri" w:hAnsi="Calibri"/>
                <w:sz w:val="22"/>
                <w:szCs w:val="22"/>
              </w:rPr>
              <w:t>, per month, per $1,000 of coverage</w:t>
            </w:r>
          </w:p>
          <w:p w:rsidR="00310A2A" w:rsidRPr="005411C2" w:rsidRDefault="00310A2A" w:rsidP="00310A2A">
            <w:pPr>
              <w:rPr>
                <w:rFonts w:ascii="Calibri" w:hAnsi="Calibri"/>
                <w:sz w:val="22"/>
                <w:szCs w:val="22"/>
              </w:rPr>
            </w:pPr>
            <w:r w:rsidRPr="005411C2">
              <w:rPr>
                <w:rFonts w:ascii="Calibri" w:hAnsi="Calibri"/>
                <w:sz w:val="22"/>
                <w:szCs w:val="22"/>
              </w:rPr>
              <w:t>Age 50 – 54   Reduced $0.01 from $0.</w:t>
            </w:r>
            <w:r w:rsidR="006A3C0D">
              <w:rPr>
                <w:rFonts w:ascii="Calibri" w:hAnsi="Calibri"/>
                <w:sz w:val="22"/>
                <w:szCs w:val="22"/>
              </w:rPr>
              <w:t>21</w:t>
            </w:r>
            <w:r w:rsidRPr="005411C2">
              <w:rPr>
                <w:rFonts w:ascii="Calibri" w:hAnsi="Calibri"/>
                <w:sz w:val="22"/>
                <w:szCs w:val="22"/>
              </w:rPr>
              <w:t xml:space="preserve"> to $0.2</w:t>
            </w:r>
            <w:r w:rsidR="006A3C0D">
              <w:rPr>
                <w:rFonts w:ascii="Calibri" w:hAnsi="Calibri"/>
                <w:sz w:val="22"/>
                <w:szCs w:val="22"/>
              </w:rPr>
              <w:t>0</w:t>
            </w:r>
            <w:r w:rsidRPr="005411C2">
              <w:rPr>
                <w:rFonts w:ascii="Calibri" w:hAnsi="Calibri"/>
                <w:sz w:val="22"/>
                <w:szCs w:val="22"/>
              </w:rPr>
              <w:t>, per month, per $1,000 of coverage</w:t>
            </w:r>
          </w:p>
          <w:p w:rsidR="00310A2A" w:rsidRPr="005411C2" w:rsidRDefault="00310A2A" w:rsidP="00310A2A">
            <w:pPr>
              <w:rPr>
                <w:rFonts w:ascii="Calibri" w:hAnsi="Calibri"/>
                <w:sz w:val="22"/>
                <w:szCs w:val="22"/>
              </w:rPr>
            </w:pPr>
            <w:r w:rsidRPr="005411C2">
              <w:rPr>
                <w:rFonts w:ascii="Calibri" w:hAnsi="Calibri"/>
                <w:sz w:val="22"/>
                <w:szCs w:val="22"/>
              </w:rPr>
              <w:t>Age 55 – 59   Reduced $0.0</w:t>
            </w:r>
            <w:r w:rsidR="007063A1">
              <w:rPr>
                <w:rFonts w:ascii="Calibri" w:hAnsi="Calibri"/>
                <w:sz w:val="22"/>
                <w:szCs w:val="22"/>
              </w:rPr>
              <w:t>6</w:t>
            </w:r>
            <w:r w:rsidRPr="005411C2">
              <w:rPr>
                <w:rFonts w:ascii="Calibri" w:hAnsi="Calibri"/>
                <w:sz w:val="22"/>
                <w:szCs w:val="22"/>
              </w:rPr>
              <w:t xml:space="preserve"> from $0.</w:t>
            </w:r>
            <w:r w:rsidR="006A3C0D">
              <w:rPr>
                <w:rFonts w:ascii="Calibri" w:hAnsi="Calibri"/>
                <w:sz w:val="22"/>
                <w:szCs w:val="22"/>
              </w:rPr>
              <w:t>40</w:t>
            </w:r>
            <w:r w:rsidRPr="005411C2">
              <w:rPr>
                <w:rFonts w:ascii="Calibri" w:hAnsi="Calibri"/>
                <w:sz w:val="22"/>
                <w:szCs w:val="22"/>
              </w:rPr>
              <w:t xml:space="preserve"> to $0.</w:t>
            </w:r>
            <w:r w:rsidR="006A3C0D">
              <w:rPr>
                <w:rFonts w:ascii="Calibri" w:hAnsi="Calibri"/>
                <w:sz w:val="22"/>
                <w:szCs w:val="22"/>
              </w:rPr>
              <w:t>34</w:t>
            </w:r>
            <w:r w:rsidRPr="005411C2">
              <w:rPr>
                <w:rFonts w:ascii="Calibri" w:hAnsi="Calibri"/>
                <w:sz w:val="22"/>
                <w:szCs w:val="22"/>
              </w:rPr>
              <w:t>, per month, per $1,000 of coverage</w:t>
            </w:r>
          </w:p>
          <w:p w:rsidR="00310A2A" w:rsidRPr="005411C2" w:rsidRDefault="00310A2A" w:rsidP="00310A2A">
            <w:pPr>
              <w:rPr>
                <w:rFonts w:ascii="Calibri" w:hAnsi="Calibri"/>
                <w:sz w:val="22"/>
                <w:szCs w:val="22"/>
              </w:rPr>
            </w:pPr>
          </w:p>
          <w:p w:rsidR="00310A2A" w:rsidRPr="003B75D4" w:rsidRDefault="00310A2A" w:rsidP="00310A2A">
            <w:pPr>
              <w:pStyle w:val="Header"/>
              <w:tabs>
                <w:tab w:val="clear" w:pos="4320"/>
                <w:tab w:val="clear" w:pos="8640"/>
                <w:tab w:val="left" w:pos="2400"/>
              </w:tabs>
            </w:pPr>
            <w:r w:rsidRPr="003B75D4">
              <w:t xml:space="preserve">Reports documenting the coverage and premium amounts </w:t>
            </w:r>
            <w:r w:rsidR="006A3C0D">
              <w:t>were</w:t>
            </w:r>
            <w:r w:rsidRPr="003B75D4">
              <w:t xml:space="preserve"> distributed</w:t>
            </w:r>
            <w:r w:rsidR="006A3C0D">
              <w:t xml:space="preserve"> June 21</w:t>
            </w:r>
            <w:r>
              <w:t>.  The file to change the D</w:t>
            </w:r>
            <w:r w:rsidRPr="003B75D4">
              <w:t xml:space="preserve">eduction </w:t>
            </w:r>
            <w:r w:rsidR="009C52A1">
              <w:t>0</w:t>
            </w:r>
            <w:r w:rsidRPr="003B75D4">
              <w:t xml:space="preserve">35 amounts will be loaded on </w:t>
            </w:r>
            <w:r>
              <w:t xml:space="preserve">June </w:t>
            </w:r>
            <w:r w:rsidR="006A3C0D">
              <w:t>28</w:t>
            </w:r>
            <w:r w:rsidRPr="003B75D4">
              <w:t>.  Be sure to review the Report U024, OPTIONAL GROUP LIFE PREMIUM LISTING, and Report U025, OPTIONAL GROUP LIFE ERROR REPORT, in sufficient time to identify and make any necessary adjustments prior to certification.</w:t>
            </w:r>
          </w:p>
          <w:p w:rsidR="00310A2A" w:rsidRPr="007A0129" w:rsidRDefault="00310A2A" w:rsidP="00310A2A">
            <w:pPr>
              <w:pStyle w:val="BlockText"/>
              <w:rPr>
                <w:sz w:val="16"/>
                <w:szCs w:val="16"/>
              </w:rPr>
            </w:pPr>
          </w:p>
          <w:p w:rsidR="00310A2A" w:rsidRPr="003B75D4" w:rsidRDefault="00310A2A" w:rsidP="00310A2A">
            <w:pPr>
              <w:pStyle w:val="BlockText"/>
            </w:pPr>
            <w:r w:rsidRPr="003B75D4">
              <w:t>Questions regarding coverage or premiums should be directed to Joe Chang at Minnesota Life at:</w:t>
            </w:r>
          </w:p>
          <w:p w:rsidR="00310A2A" w:rsidRPr="003B75D4" w:rsidRDefault="00310A2A" w:rsidP="00310A2A">
            <w:pPr>
              <w:pStyle w:val="BlockText"/>
            </w:pPr>
          </w:p>
          <w:p w:rsidR="00310A2A" w:rsidRPr="003B75D4" w:rsidRDefault="00310A2A" w:rsidP="00310A2A">
            <w:pPr>
              <w:ind w:firstLine="792"/>
              <w:rPr>
                <w:snapToGrid w:val="0"/>
              </w:rPr>
            </w:pPr>
            <w:r>
              <w:rPr>
                <w:snapToGrid w:val="0"/>
              </w:rPr>
              <w:t>Joe Chang,</w:t>
            </w:r>
            <w:r w:rsidRPr="003B75D4">
              <w:rPr>
                <w:snapToGrid w:val="0"/>
              </w:rPr>
              <w:t xml:space="preserve"> </w:t>
            </w:r>
            <w:smartTag w:uri="urn:schemas-microsoft-com:office:smarttags" w:element="City">
              <w:smartTag w:uri="urn:schemas-microsoft-com:office:smarttags" w:element="place">
                <w:r w:rsidRPr="003B75D4">
                  <w:rPr>
                    <w:snapToGrid w:val="0"/>
                  </w:rPr>
                  <w:t>Richmond</w:t>
                </w:r>
              </w:smartTag>
            </w:smartTag>
            <w:r w:rsidRPr="003B75D4">
              <w:rPr>
                <w:snapToGrid w:val="0"/>
              </w:rPr>
              <w:t xml:space="preserve"> Branch Office</w:t>
            </w:r>
          </w:p>
          <w:p w:rsidR="00310A2A" w:rsidRPr="003B75D4" w:rsidRDefault="00310A2A" w:rsidP="00310A2A">
            <w:pPr>
              <w:ind w:firstLine="792"/>
              <w:rPr>
                <w:snapToGrid w:val="0"/>
              </w:rPr>
            </w:pPr>
            <w:r w:rsidRPr="003B75D4">
              <w:rPr>
                <w:snapToGrid w:val="0"/>
              </w:rPr>
              <w:t>joseph.chang@minnesota</w:t>
            </w:r>
            <w:r>
              <w:rPr>
                <w:snapToGrid w:val="0"/>
              </w:rPr>
              <w:t>life</w:t>
            </w:r>
            <w:r w:rsidRPr="003B75D4">
              <w:rPr>
                <w:snapToGrid w:val="0"/>
              </w:rPr>
              <w:t>.com</w:t>
            </w:r>
          </w:p>
          <w:p w:rsidR="00310A2A" w:rsidRDefault="00310A2A" w:rsidP="00310A2A">
            <w:pPr>
              <w:pStyle w:val="BlockText"/>
              <w:ind w:left="-18" w:firstLine="810"/>
              <w:rPr>
                <w:snapToGrid w:val="0"/>
              </w:rPr>
            </w:pPr>
            <w:r w:rsidRPr="003B75D4">
              <w:rPr>
                <w:snapToGrid w:val="0"/>
              </w:rPr>
              <w:t>Phone: 1-800-441-2258, ext. 101</w:t>
            </w:r>
          </w:p>
          <w:p w:rsidR="00310A2A" w:rsidRDefault="00310A2A" w:rsidP="006A3C0D">
            <w:pPr>
              <w:tabs>
                <w:tab w:val="left" w:pos="4680"/>
              </w:tabs>
              <w:ind w:left="792"/>
            </w:pPr>
            <w:r w:rsidRPr="003B75D4">
              <w:rPr>
                <w:snapToGrid w:val="0"/>
              </w:rPr>
              <w:t>Fax: 804-644-2460</w:t>
            </w:r>
            <w:r>
              <w:tab/>
            </w:r>
          </w:p>
        </w:tc>
      </w:tr>
    </w:tbl>
    <w:p w:rsidR="00310A2A" w:rsidRDefault="00310A2A" w:rsidP="00310A2A">
      <w:pPr>
        <w:pStyle w:val="BlockLine"/>
        <w:ind w:left="1620"/>
        <w:rPr>
          <w:sz w:val="16"/>
          <w:szCs w:val="16"/>
        </w:rPr>
      </w:pPr>
    </w:p>
    <w:p w:rsidR="00A95335" w:rsidRDefault="00A95335" w:rsidP="00A95335">
      <w:pPr>
        <w:pStyle w:val="Heading4"/>
        <w:spacing w:after="0"/>
        <w:rPr>
          <w:rFonts w:ascii="Times New Roman" w:hAnsi="Times New Roman"/>
          <w:b/>
          <w:sz w:val="28"/>
          <w:szCs w:val="28"/>
        </w:rPr>
      </w:pPr>
      <w:r>
        <w:rPr>
          <w:rFonts w:ascii="Times New Roman" w:hAnsi="Times New Roman"/>
          <w:b/>
          <w:sz w:val="28"/>
          <w:szCs w:val="28"/>
        </w:rPr>
        <w:t>Modification to PAT 1500-Hour Report</w:t>
      </w:r>
    </w:p>
    <w:p w:rsidR="00A95335" w:rsidRPr="00C50FDD" w:rsidRDefault="00A95335" w:rsidP="00A95335">
      <w:pPr>
        <w:pStyle w:val="BlockLine"/>
        <w:ind w:left="1620"/>
        <w:rPr>
          <w:sz w:val="16"/>
          <w:szCs w:val="16"/>
        </w:rPr>
      </w:pPr>
    </w:p>
    <w:tbl>
      <w:tblPr>
        <w:tblW w:w="10188" w:type="dxa"/>
        <w:tblLayout w:type="fixed"/>
        <w:tblLook w:val="0000"/>
      </w:tblPr>
      <w:tblGrid>
        <w:gridCol w:w="1728"/>
        <w:gridCol w:w="8460"/>
      </w:tblGrid>
      <w:tr w:rsidR="00A95335" w:rsidTr="009C52A1">
        <w:trPr>
          <w:cantSplit/>
        </w:trPr>
        <w:tc>
          <w:tcPr>
            <w:tcW w:w="1728" w:type="dxa"/>
          </w:tcPr>
          <w:p w:rsidR="00A95335" w:rsidRPr="006D5014" w:rsidRDefault="00A95335" w:rsidP="00BD4EE4">
            <w:pPr>
              <w:rPr>
                <w:b/>
                <w:sz w:val="22"/>
                <w:szCs w:val="22"/>
              </w:rPr>
            </w:pPr>
            <w:r>
              <w:rPr>
                <w:b/>
                <w:sz w:val="22"/>
                <w:szCs w:val="22"/>
              </w:rPr>
              <w:t>Return to Reporting Work Period Hours</w:t>
            </w:r>
          </w:p>
        </w:tc>
        <w:tc>
          <w:tcPr>
            <w:tcW w:w="8460" w:type="dxa"/>
          </w:tcPr>
          <w:p w:rsidR="00A95335" w:rsidRDefault="00A95335" w:rsidP="00722E47">
            <w:r>
              <w:t>DHRM has notified DOA that the 1500-hour reporting period should be based upon a work year beginning May 1.  The term “paid” in the Frequently Asked Questions is intended to communicate that the value of hours to be included are all those that are compensable (e.g. 8 hours on-call even if only worked 1 hour).  The Payroll Audit Tool report will be modified accordingly.</w:t>
            </w:r>
          </w:p>
        </w:tc>
      </w:tr>
    </w:tbl>
    <w:p w:rsidR="00A95335" w:rsidRDefault="00A95335" w:rsidP="00A95335">
      <w:pPr>
        <w:pStyle w:val="BlockLine"/>
        <w:ind w:left="1620"/>
        <w:rPr>
          <w:sz w:val="16"/>
          <w:szCs w:val="16"/>
        </w:rPr>
      </w:pPr>
    </w:p>
    <w:sectPr w:rsidR="00A95335" w:rsidSect="00781905">
      <w:headerReference w:type="default" r:id="rId10"/>
      <w:footerReference w:type="default" r:id="rId11"/>
      <w:pgSz w:w="12240" w:h="15840" w:code="1"/>
      <w:pgMar w:top="720" w:right="1152" w:bottom="0" w:left="1152"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24" w:rsidRDefault="00F30624">
      <w:r>
        <w:separator/>
      </w:r>
    </w:p>
  </w:endnote>
  <w:endnote w:type="continuationSeparator" w:id="0">
    <w:p w:rsidR="00F30624" w:rsidRDefault="00F306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51" w:rsidRDefault="00121C51"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sidR="00DA7155">
      <w:rPr>
        <w:rStyle w:val="PageNumber"/>
      </w:rPr>
      <w:fldChar w:fldCharType="begin"/>
    </w:r>
    <w:r>
      <w:rPr>
        <w:rStyle w:val="PageNumber"/>
      </w:rPr>
      <w:instrText xml:space="preserve"> PAGE </w:instrText>
    </w:r>
    <w:r w:rsidR="00DA7155">
      <w:rPr>
        <w:rStyle w:val="PageNumber"/>
      </w:rPr>
      <w:fldChar w:fldCharType="separate"/>
    </w:r>
    <w:r w:rsidR="003F67A3">
      <w:rPr>
        <w:rStyle w:val="PageNumber"/>
        <w:noProof/>
      </w:rPr>
      <w:t>3</w:t>
    </w:r>
    <w:r w:rsidR="00DA7155">
      <w:rPr>
        <w:rStyle w:val="PageNumber"/>
      </w:rPr>
      <w:fldChar w:fldCharType="end"/>
    </w:r>
    <w:r>
      <w:rPr>
        <w:rStyle w:val="PageNumber"/>
      </w:rPr>
      <w:t xml:space="preserve"> of </w:t>
    </w:r>
    <w:r w:rsidR="00DA7155">
      <w:rPr>
        <w:rStyle w:val="PageNumber"/>
      </w:rPr>
      <w:fldChar w:fldCharType="begin"/>
    </w:r>
    <w:r>
      <w:rPr>
        <w:rStyle w:val="PageNumber"/>
      </w:rPr>
      <w:instrText xml:space="preserve"> NUMPAGES </w:instrText>
    </w:r>
    <w:r w:rsidR="00DA7155">
      <w:rPr>
        <w:rStyle w:val="PageNumber"/>
      </w:rPr>
      <w:fldChar w:fldCharType="separate"/>
    </w:r>
    <w:r w:rsidR="003F67A3">
      <w:rPr>
        <w:rStyle w:val="PageNumber"/>
        <w:noProof/>
      </w:rPr>
      <w:t>3</w:t>
    </w:r>
    <w:r w:rsidR="00DA7155">
      <w:rPr>
        <w:rStyle w:val="PageNumber"/>
      </w:rPr>
      <w:fldChar w:fldCharType="end"/>
    </w:r>
  </w:p>
  <w:p w:rsidR="00121C51" w:rsidRDefault="00DA7155" w:rsidP="00CD3AC2">
    <w:pPr>
      <w:pStyle w:val="NormalWeb"/>
      <w:jc w:val="center"/>
      <w:rPr>
        <w:rFonts w:ascii="Arial" w:hAnsi="Arial" w:cs="Arial"/>
        <w:color w:val="006666"/>
        <w:sz w:val="20"/>
        <w:szCs w:val="20"/>
      </w:rPr>
    </w:pPr>
    <w:hyperlink r:id="rId1" w:tooltip="http://www.doa.virginia.gov/Payroll/Payroll_Bulletins/Payroll_Bulletins_Main.cfm" w:history="1">
      <w:r w:rsidR="00121C51">
        <w:rPr>
          <w:rStyle w:val="Hyperlink"/>
          <w:i/>
          <w:iCs/>
          <w:snapToGrid w:val="0"/>
          <w:sz w:val="22"/>
          <w:szCs w:val="20"/>
        </w:rPr>
        <w:t>http://www.doa.virginia.gov/Payroll/Payroll_Bulletins/Payroll_Bulletins_Main.cfm</w:t>
      </w:r>
    </w:hyperlink>
  </w:p>
  <w:p w:rsidR="00121C51" w:rsidRPr="009F7AFD" w:rsidRDefault="00121C51" w:rsidP="00CD3AC2">
    <w:pPr>
      <w:pStyle w:val="Footer"/>
      <w:pBdr>
        <w:top w:val="single" w:sz="6" w:space="0" w:color="auto"/>
      </w:pBdr>
      <w:tabs>
        <w:tab w:val="clear" w:pos="4320"/>
        <w:tab w:val="clear" w:pos="8640"/>
        <w:tab w:val="left" w:pos="5940"/>
      </w:tabs>
      <w:ind w:right="-414"/>
      <w:jc w:val="center"/>
      <w:rPr>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24" w:rsidRDefault="00F30624">
      <w:r>
        <w:separator/>
      </w:r>
    </w:p>
  </w:footnote>
  <w:footnote w:type="continuationSeparator" w:id="0">
    <w:p w:rsidR="00F30624" w:rsidRDefault="00F30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C51" w:rsidRDefault="00121C51" w:rsidP="00B97E16"/>
  <w:tbl>
    <w:tblPr>
      <w:tblW w:w="10188" w:type="dxa"/>
      <w:tblLayout w:type="fixed"/>
      <w:tblLook w:val="0000"/>
    </w:tblPr>
    <w:tblGrid>
      <w:gridCol w:w="3366"/>
      <w:gridCol w:w="3366"/>
      <w:gridCol w:w="3456"/>
    </w:tblGrid>
    <w:tr w:rsidR="00121C51" w:rsidTr="00457EE5">
      <w:trPr>
        <w:cantSplit/>
      </w:trPr>
      <w:tc>
        <w:tcPr>
          <w:tcW w:w="3366" w:type="dxa"/>
          <w:tcBorders>
            <w:bottom w:val="double" w:sz="6" w:space="0" w:color="auto"/>
          </w:tcBorders>
        </w:tcPr>
        <w:p w:rsidR="00121C51" w:rsidRDefault="00121C51" w:rsidP="00B11532">
          <w:pPr>
            <w:pStyle w:val="Header"/>
            <w:rPr>
              <w:b/>
              <w:sz w:val="20"/>
            </w:rPr>
          </w:pPr>
          <w:r>
            <w:rPr>
              <w:b/>
              <w:sz w:val="20"/>
            </w:rPr>
            <w:t>Calendar Year 2013</w:t>
          </w:r>
        </w:p>
      </w:tc>
      <w:tc>
        <w:tcPr>
          <w:tcW w:w="3366" w:type="dxa"/>
          <w:tcBorders>
            <w:bottom w:val="double" w:sz="6" w:space="0" w:color="auto"/>
          </w:tcBorders>
        </w:tcPr>
        <w:p w:rsidR="00121C51" w:rsidRDefault="00AD1B45" w:rsidP="00AD1B45">
          <w:pPr>
            <w:pStyle w:val="Header"/>
            <w:jc w:val="center"/>
            <w:rPr>
              <w:b/>
              <w:sz w:val="20"/>
            </w:rPr>
          </w:pPr>
          <w:r>
            <w:rPr>
              <w:b/>
              <w:sz w:val="20"/>
            </w:rPr>
            <w:t>June</w:t>
          </w:r>
          <w:r w:rsidR="00121C51">
            <w:rPr>
              <w:b/>
              <w:sz w:val="20"/>
            </w:rPr>
            <w:t xml:space="preserve"> </w:t>
          </w:r>
          <w:r>
            <w:rPr>
              <w:b/>
              <w:sz w:val="20"/>
            </w:rPr>
            <w:t>2</w:t>
          </w:r>
          <w:r w:rsidR="00121C51">
            <w:rPr>
              <w:b/>
              <w:sz w:val="20"/>
            </w:rPr>
            <w:t>4, 2013</w:t>
          </w:r>
        </w:p>
      </w:tc>
      <w:tc>
        <w:tcPr>
          <w:tcW w:w="3456" w:type="dxa"/>
          <w:tcBorders>
            <w:bottom w:val="double" w:sz="6" w:space="0" w:color="auto"/>
          </w:tcBorders>
        </w:tcPr>
        <w:p w:rsidR="00121C51" w:rsidRDefault="00121C51" w:rsidP="00AD1B45">
          <w:pPr>
            <w:pStyle w:val="Header"/>
            <w:jc w:val="right"/>
            <w:rPr>
              <w:b/>
              <w:sz w:val="20"/>
            </w:rPr>
          </w:pPr>
          <w:r>
            <w:rPr>
              <w:b/>
              <w:sz w:val="20"/>
            </w:rPr>
            <w:t>Volume 2013-0</w:t>
          </w:r>
          <w:r w:rsidR="00AD1B45">
            <w:rPr>
              <w:b/>
              <w:sz w:val="20"/>
            </w:rPr>
            <w:t>8</w:t>
          </w:r>
        </w:p>
      </w:tc>
    </w:tr>
  </w:tbl>
  <w:p w:rsidR="00121C51" w:rsidRDefault="00121C51" w:rsidP="00B97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74BA4992"/>
    <w:multiLevelType w:val="hybridMultilevel"/>
    <w:tmpl w:val="4906CD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0D0C78"/>
    <w:rsid w:val="0000308D"/>
    <w:rsid w:val="000134A3"/>
    <w:rsid w:val="000229A0"/>
    <w:rsid w:val="000248B8"/>
    <w:rsid w:val="00031810"/>
    <w:rsid w:val="000330E6"/>
    <w:rsid w:val="00037673"/>
    <w:rsid w:val="000516A3"/>
    <w:rsid w:val="00053D2A"/>
    <w:rsid w:val="0006095F"/>
    <w:rsid w:val="00070AED"/>
    <w:rsid w:val="00090054"/>
    <w:rsid w:val="000A3E0D"/>
    <w:rsid w:val="000D0C78"/>
    <w:rsid w:val="000E4259"/>
    <w:rsid w:val="000F68C9"/>
    <w:rsid w:val="00107430"/>
    <w:rsid w:val="00111132"/>
    <w:rsid w:val="00121C51"/>
    <w:rsid w:val="00123B03"/>
    <w:rsid w:val="001434D8"/>
    <w:rsid w:val="0015455A"/>
    <w:rsid w:val="00166819"/>
    <w:rsid w:val="0017285D"/>
    <w:rsid w:val="00177EA1"/>
    <w:rsid w:val="00184A1D"/>
    <w:rsid w:val="0019385E"/>
    <w:rsid w:val="001A2715"/>
    <w:rsid w:val="001A3EA1"/>
    <w:rsid w:val="001C3B20"/>
    <w:rsid w:val="001C416E"/>
    <w:rsid w:val="001C6B3E"/>
    <w:rsid w:val="001E07BF"/>
    <w:rsid w:val="001E47DD"/>
    <w:rsid w:val="001E5C91"/>
    <w:rsid w:val="001E676B"/>
    <w:rsid w:val="001F28FA"/>
    <w:rsid w:val="001F423F"/>
    <w:rsid w:val="00202B71"/>
    <w:rsid w:val="00211FBE"/>
    <w:rsid w:val="00214179"/>
    <w:rsid w:val="002244EF"/>
    <w:rsid w:val="00224574"/>
    <w:rsid w:val="00224F21"/>
    <w:rsid w:val="00225F15"/>
    <w:rsid w:val="00246724"/>
    <w:rsid w:val="00251987"/>
    <w:rsid w:val="00254C18"/>
    <w:rsid w:val="00254F1E"/>
    <w:rsid w:val="00282FE5"/>
    <w:rsid w:val="002875BF"/>
    <w:rsid w:val="00292042"/>
    <w:rsid w:val="002A149C"/>
    <w:rsid w:val="002B46AD"/>
    <w:rsid w:val="002B69A0"/>
    <w:rsid w:val="002B7654"/>
    <w:rsid w:val="002C1D7B"/>
    <w:rsid w:val="002C7CC2"/>
    <w:rsid w:val="002D27FC"/>
    <w:rsid w:val="002D399D"/>
    <w:rsid w:val="002F385B"/>
    <w:rsid w:val="002F7B7E"/>
    <w:rsid w:val="00310A2A"/>
    <w:rsid w:val="00312378"/>
    <w:rsid w:val="00315DB1"/>
    <w:rsid w:val="00315F57"/>
    <w:rsid w:val="00324E82"/>
    <w:rsid w:val="00351CE2"/>
    <w:rsid w:val="003667F5"/>
    <w:rsid w:val="00374FDC"/>
    <w:rsid w:val="00385A63"/>
    <w:rsid w:val="00387A2A"/>
    <w:rsid w:val="00390F63"/>
    <w:rsid w:val="00390FC5"/>
    <w:rsid w:val="003B09C4"/>
    <w:rsid w:val="003B1670"/>
    <w:rsid w:val="003C566C"/>
    <w:rsid w:val="003D56A6"/>
    <w:rsid w:val="003F67A3"/>
    <w:rsid w:val="003F773F"/>
    <w:rsid w:val="00406F86"/>
    <w:rsid w:val="00430920"/>
    <w:rsid w:val="004415DE"/>
    <w:rsid w:val="0044520A"/>
    <w:rsid w:val="004520E7"/>
    <w:rsid w:val="00457EE5"/>
    <w:rsid w:val="004809FF"/>
    <w:rsid w:val="00486725"/>
    <w:rsid w:val="00487C09"/>
    <w:rsid w:val="004A715D"/>
    <w:rsid w:val="004D13E1"/>
    <w:rsid w:val="004D2BBE"/>
    <w:rsid w:val="004E5846"/>
    <w:rsid w:val="004E7B9F"/>
    <w:rsid w:val="004F1113"/>
    <w:rsid w:val="0050233B"/>
    <w:rsid w:val="00545EED"/>
    <w:rsid w:val="0056085F"/>
    <w:rsid w:val="00562AD7"/>
    <w:rsid w:val="00564691"/>
    <w:rsid w:val="00565BF7"/>
    <w:rsid w:val="005668A2"/>
    <w:rsid w:val="0057239D"/>
    <w:rsid w:val="00575ECA"/>
    <w:rsid w:val="00580CFE"/>
    <w:rsid w:val="00587CEB"/>
    <w:rsid w:val="005C1612"/>
    <w:rsid w:val="005C2403"/>
    <w:rsid w:val="005D6F7B"/>
    <w:rsid w:val="005E1A52"/>
    <w:rsid w:val="005F1589"/>
    <w:rsid w:val="005F27CC"/>
    <w:rsid w:val="005F39E8"/>
    <w:rsid w:val="00611577"/>
    <w:rsid w:val="00612422"/>
    <w:rsid w:val="00624F5A"/>
    <w:rsid w:val="00654A9F"/>
    <w:rsid w:val="00674030"/>
    <w:rsid w:val="0068029E"/>
    <w:rsid w:val="0068152E"/>
    <w:rsid w:val="00686D94"/>
    <w:rsid w:val="0069030B"/>
    <w:rsid w:val="006928C9"/>
    <w:rsid w:val="0069555B"/>
    <w:rsid w:val="006A1493"/>
    <w:rsid w:val="006A279F"/>
    <w:rsid w:val="006A3C0D"/>
    <w:rsid w:val="006B03F2"/>
    <w:rsid w:val="006B24C0"/>
    <w:rsid w:val="006B7109"/>
    <w:rsid w:val="006C3BEE"/>
    <w:rsid w:val="006D39A3"/>
    <w:rsid w:val="006D49C3"/>
    <w:rsid w:val="006D5014"/>
    <w:rsid w:val="006F2F52"/>
    <w:rsid w:val="007063A1"/>
    <w:rsid w:val="00717F70"/>
    <w:rsid w:val="00722E47"/>
    <w:rsid w:val="00731DB0"/>
    <w:rsid w:val="00747E3C"/>
    <w:rsid w:val="00757BFB"/>
    <w:rsid w:val="007667FA"/>
    <w:rsid w:val="007750D1"/>
    <w:rsid w:val="0078110A"/>
    <w:rsid w:val="00781905"/>
    <w:rsid w:val="0079072D"/>
    <w:rsid w:val="007A4B30"/>
    <w:rsid w:val="007B151F"/>
    <w:rsid w:val="007B4814"/>
    <w:rsid w:val="007C2829"/>
    <w:rsid w:val="007C28D4"/>
    <w:rsid w:val="007C2BEA"/>
    <w:rsid w:val="007D487C"/>
    <w:rsid w:val="007F51A7"/>
    <w:rsid w:val="00801B20"/>
    <w:rsid w:val="00805277"/>
    <w:rsid w:val="00833288"/>
    <w:rsid w:val="00836D7F"/>
    <w:rsid w:val="008600B8"/>
    <w:rsid w:val="00863351"/>
    <w:rsid w:val="008675DE"/>
    <w:rsid w:val="00870BB3"/>
    <w:rsid w:val="00872A79"/>
    <w:rsid w:val="008948EA"/>
    <w:rsid w:val="0089615E"/>
    <w:rsid w:val="008C2065"/>
    <w:rsid w:val="008C29E8"/>
    <w:rsid w:val="008F1713"/>
    <w:rsid w:val="009219E7"/>
    <w:rsid w:val="00930697"/>
    <w:rsid w:val="00946E65"/>
    <w:rsid w:val="009601E3"/>
    <w:rsid w:val="00974C38"/>
    <w:rsid w:val="00976C71"/>
    <w:rsid w:val="00993D57"/>
    <w:rsid w:val="009A3BBB"/>
    <w:rsid w:val="009B1406"/>
    <w:rsid w:val="009C52A1"/>
    <w:rsid w:val="009D22EB"/>
    <w:rsid w:val="009D3989"/>
    <w:rsid w:val="009E564C"/>
    <w:rsid w:val="009F0A22"/>
    <w:rsid w:val="009F6827"/>
    <w:rsid w:val="009F766D"/>
    <w:rsid w:val="009F7AFD"/>
    <w:rsid w:val="009F7CC0"/>
    <w:rsid w:val="00A24AB2"/>
    <w:rsid w:val="00A317F9"/>
    <w:rsid w:val="00A31E2A"/>
    <w:rsid w:val="00A4564F"/>
    <w:rsid w:val="00A652B4"/>
    <w:rsid w:val="00A67421"/>
    <w:rsid w:val="00A72FF9"/>
    <w:rsid w:val="00A80AA5"/>
    <w:rsid w:val="00A850F9"/>
    <w:rsid w:val="00A95335"/>
    <w:rsid w:val="00AA4EEF"/>
    <w:rsid w:val="00AD1B45"/>
    <w:rsid w:val="00AE0F14"/>
    <w:rsid w:val="00B00010"/>
    <w:rsid w:val="00B001A0"/>
    <w:rsid w:val="00B03090"/>
    <w:rsid w:val="00B07E95"/>
    <w:rsid w:val="00B11532"/>
    <w:rsid w:val="00B14904"/>
    <w:rsid w:val="00B17AF8"/>
    <w:rsid w:val="00B20211"/>
    <w:rsid w:val="00B40842"/>
    <w:rsid w:val="00B638DC"/>
    <w:rsid w:val="00B65B4E"/>
    <w:rsid w:val="00B77999"/>
    <w:rsid w:val="00B87D23"/>
    <w:rsid w:val="00B900DE"/>
    <w:rsid w:val="00B92EAE"/>
    <w:rsid w:val="00B97E16"/>
    <w:rsid w:val="00BC48D7"/>
    <w:rsid w:val="00BC5E04"/>
    <w:rsid w:val="00BD43E3"/>
    <w:rsid w:val="00C033C7"/>
    <w:rsid w:val="00C07D38"/>
    <w:rsid w:val="00C120F3"/>
    <w:rsid w:val="00C30F8D"/>
    <w:rsid w:val="00C4636E"/>
    <w:rsid w:val="00C50FDD"/>
    <w:rsid w:val="00C90D0F"/>
    <w:rsid w:val="00C91E35"/>
    <w:rsid w:val="00C91FC1"/>
    <w:rsid w:val="00CB6BD9"/>
    <w:rsid w:val="00CC79DD"/>
    <w:rsid w:val="00CD3AC2"/>
    <w:rsid w:val="00CE425D"/>
    <w:rsid w:val="00CE5E54"/>
    <w:rsid w:val="00CF4033"/>
    <w:rsid w:val="00CF5444"/>
    <w:rsid w:val="00D1529F"/>
    <w:rsid w:val="00D222BD"/>
    <w:rsid w:val="00D35E07"/>
    <w:rsid w:val="00D40EFC"/>
    <w:rsid w:val="00D44A6C"/>
    <w:rsid w:val="00D65654"/>
    <w:rsid w:val="00D91CF8"/>
    <w:rsid w:val="00D925A8"/>
    <w:rsid w:val="00D96E2A"/>
    <w:rsid w:val="00D97801"/>
    <w:rsid w:val="00DA6523"/>
    <w:rsid w:val="00DA7155"/>
    <w:rsid w:val="00DB0B3E"/>
    <w:rsid w:val="00DD1147"/>
    <w:rsid w:val="00DF0E00"/>
    <w:rsid w:val="00DF2CD4"/>
    <w:rsid w:val="00DF34AD"/>
    <w:rsid w:val="00E11CBF"/>
    <w:rsid w:val="00E2451F"/>
    <w:rsid w:val="00E259BE"/>
    <w:rsid w:val="00E30565"/>
    <w:rsid w:val="00E834E5"/>
    <w:rsid w:val="00E97CB7"/>
    <w:rsid w:val="00EB6D2F"/>
    <w:rsid w:val="00ED247F"/>
    <w:rsid w:val="00ED5D71"/>
    <w:rsid w:val="00EE2DCF"/>
    <w:rsid w:val="00EE48EE"/>
    <w:rsid w:val="00EF26A6"/>
    <w:rsid w:val="00F04298"/>
    <w:rsid w:val="00F20AC6"/>
    <w:rsid w:val="00F22B94"/>
    <w:rsid w:val="00F2394F"/>
    <w:rsid w:val="00F30624"/>
    <w:rsid w:val="00F3320E"/>
    <w:rsid w:val="00F342E2"/>
    <w:rsid w:val="00F34A52"/>
    <w:rsid w:val="00F34BD4"/>
    <w:rsid w:val="00F412C0"/>
    <w:rsid w:val="00F43DB3"/>
    <w:rsid w:val="00F44D1A"/>
    <w:rsid w:val="00F45A7B"/>
    <w:rsid w:val="00F87211"/>
    <w:rsid w:val="00F92BE9"/>
    <w:rsid w:val="00F94FAF"/>
    <w:rsid w:val="00FA0761"/>
    <w:rsid w:val="00FA490C"/>
    <w:rsid w:val="00FA4CF0"/>
    <w:rsid w:val="00FA65B1"/>
    <w:rsid w:val="00FA69A2"/>
    <w:rsid w:val="00FB4EFD"/>
    <w:rsid w:val="00FD1318"/>
    <w:rsid w:val="00FE1AE1"/>
    <w:rsid w:val="00FE6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C51"/>
    <w:rPr>
      <w:sz w:val="24"/>
    </w:rPr>
  </w:style>
  <w:style w:type="paragraph" w:styleId="Heading1">
    <w:name w:val="heading 1"/>
    <w:aliases w:val="Part"/>
    <w:basedOn w:val="Normal"/>
    <w:next w:val="Heading2"/>
    <w:qFormat/>
    <w:rsid w:val="004E5846"/>
    <w:pPr>
      <w:spacing w:after="240"/>
      <w:jc w:val="center"/>
      <w:outlineLvl w:val="0"/>
    </w:pPr>
    <w:rPr>
      <w:rFonts w:ascii="Arial" w:hAnsi="Arial"/>
      <w:b/>
      <w:sz w:val="32"/>
    </w:rPr>
  </w:style>
  <w:style w:type="paragraph" w:styleId="Heading2">
    <w:name w:val="heading 2"/>
    <w:aliases w:val="Chapter Title"/>
    <w:basedOn w:val="Normal"/>
    <w:next w:val="Heading4"/>
    <w:qFormat/>
    <w:rsid w:val="004E5846"/>
    <w:pPr>
      <w:spacing w:after="240"/>
      <w:jc w:val="center"/>
      <w:outlineLvl w:val="1"/>
    </w:pPr>
    <w:rPr>
      <w:rFonts w:ascii="Arial" w:hAnsi="Arial"/>
      <w:b/>
      <w:sz w:val="32"/>
    </w:rPr>
  </w:style>
  <w:style w:type="paragraph" w:styleId="Heading3">
    <w:name w:val="heading 3"/>
    <w:aliases w:val="Section"/>
    <w:basedOn w:val="Normal"/>
    <w:next w:val="Heading4"/>
    <w:qFormat/>
    <w:rsid w:val="004E5846"/>
    <w:pPr>
      <w:spacing w:after="240"/>
      <w:jc w:val="center"/>
      <w:outlineLvl w:val="2"/>
    </w:pPr>
    <w:rPr>
      <w:rFonts w:ascii="Arial" w:hAnsi="Arial"/>
      <w:b/>
      <w:sz w:val="32"/>
    </w:rPr>
  </w:style>
  <w:style w:type="paragraph" w:styleId="Heading4">
    <w:name w:val="heading 4"/>
    <w:aliases w:val="Map Title"/>
    <w:basedOn w:val="Normal"/>
    <w:next w:val="Normal"/>
    <w:qFormat/>
    <w:rsid w:val="004E5846"/>
    <w:pPr>
      <w:spacing w:after="240"/>
      <w:outlineLvl w:val="3"/>
    </w:pPr>
    <w:rPr>
      <w:rFonts w:ascii="Arial" w:hAnsi="Arial"/>
    </w:rPr>
  </w:style>
  <w:style w:type="paragraph" w:styleId="Heading5">
    <w:name w:val="heading 5"/>
    <w:aliases w:val="Block Label"/>
    <w:basedOn w:val="Normal"/>
    <w:next w:val="Normal"/>
    <w:qFormat/>
    <w:rsid w:val="004E5846"/>
    <w:pPr>
      <w:outlineLvl w:val="4"/>
    </w:pPr>
    <w:rPr>
      <w:b/>
      <w:sz w:val="22"/>
    </w:rPr>
  </w:style>
  <w:style w:type="paragraph" w:styleId="Heading6">
    <w:name w:val="heading 6"/>
    <w:basedOn w:val="Normal"/>
    <w:next w:val="Normal"/>
    <w:qFormat/>
    <w:rsid w:val="004E5846"/>
    <w:pPr>
      <w:spacing w:before="240" w:after="60"/>
      <w:outlineLvl w:val="5"/>
    </w:pPr>
    <w:rPr>
      <w:i/>
      <w:sz w:val="22"/>
    </w:rPr>
  </w:style>
  <w:style w:type="paragraph" w:styleId="Heading7">
    <w:name w:val="heading 7"/>
    <w:basedOn w:val="Normal"/>
    <w:next w:val="Normal"/>
    <w:qFormat/>
    <w:rsid w:val="004E5846"/>
    <w:pPr>
      <w:spacing w:before="240" w:after="60"/>
      <w:outlineLvl w:val="6"/>
    </w:pPr>
    <w:rPr>
      <w:rFonts w:ascii="Arial" w:hAnsi="Arial"/>
      <w:sz w:val="20"/>
    </w:rPr>
  </w:style>
  <w:style w:type="paragraph" w:styleId="Heading8">
    <w:name w:val="heading 8"/>
    <w:basedOn w:val="Normal"/>
    <w:next w:val="Normal"/>
    <w:qFormat/>
    <w:rsid w:val="004E5846"/>
    <w:pPr>
      <w:spacing w:before="240" w:after="60"/>
      <w:outlineLvl w:val="7"/>
    </w:pPr>
    <w:rPr>
      <w:rFonts w:ascii="Arial" w:hAnsi="Arial"/>
      <w:i/>
      <w:sz w:val="20"/>
    </w:rPr>
  </w:style>
  <w:style w:type="paragraph" w:styleId="Heading9">
    <w:name w:val="heading 9"/>
    <w:basedOn w:val="Normal"/>
    <w:next w:val="Normal"/>
    <w:qFormat/>
    <w:rsid w:val="004E584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46"/>
    <w:pPr>
      <w:tabs>
        <w:tab w:val="center" w:pos="4320"/>
        <w:tab w:val="right" w:pos="8640"/>
      </w:tabs>
    </w:pPr>
  </w:style>
  <w:style w:type="paragraph" w:styleId="MacroText">
    <w:name w:val="macro"/>
    <w:semiHidden/>
    <w:rsid w:val="004E5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E5846"/>
    <w:pPr>
      <w:pBdr>
        <w:top w:val="single" w:sz="6" w:space="1" w:color="auto"/>
        <w:between w:val="single" w:sz="6" w:space="1" w:color="auto"/>
      </w:pBdr>
      <w:spacing w:before="240"/>
      <w:ind w:left="1700"/>
    </w:pPr>
  </w:style>
  <w:style w:type="paragraph" w:styleId="BlockText">
    <w:name w:val="Block Text"/>
    <w:basedOn w:val="Normal"/>
    <w:rsid w:val="004E5846"/>
  </w:style>
  <w:style w:type="paragraph" w:customStyle="1" w:styleId="BulletText1">
    <w:name w:val="Bullet Text 1"/>
    <w:basedOn w:val="Normal"/>
    <w:rsid w:val="004E5846"/>
    <w:pPr>
      <w:ind w:left="187" w:hanging="187"/>
    </w:pPr>
  </w:style>
  <w:style w:type="paragraph" w:customStyle="1" w:styleId="BulletText2">
    <w:name w:val="Bullet Text 2"/>
    <w:basedOn w:val="BulletText1"/>
    <w:rsid w:val="004E5846"/>
    <w:pPr>
      <w:ind w:left="360"/>
    </w:pPr>
  </w:style>
  <w:style w:type="paragraph" w:customStyle="1" w:styleId="ContinuedOnNextPa">
    <w:name w:val="Continued On Next Pa"/>
    <w:basedOn w:val="Normal"/>
    <w:next w:val="Normal"/>
    <w:rsid w:val="004E5846"/>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rsid w:val="004E5846"/>
    <w:pPr>
      <w:spacing w:after="240"/>
    </w:pPr>
    <w:rPr>
      <w:rFonts w:ascii="Helvetica" w:hAnsi="Helvetica"/>
      <w:b/>
      <w:sz w:val="32"/>
    </w:rPr>
  </w:style>
  <w:style w:type="paragraph" w:customStyle="1" w:styleId="MemoLine">
    <w:name w:val="Memo Line"/>
    <w:basedOn w:val="BlockLine"/>
    <w:next w:val="Normal"/>
    <w:rsid w:val="004E5846"/>
    <w:pPr>
      <w:ind w:left="0"/>
    </w:pPr>
  </w:style>
  <w:style w:type="paragraph" w:styleId="Footer">
    <w:name w:val="footer"/>
    <w:basedOn w:val="Normal"/>
    <w:rsid w:val="004E5846"/>
    <w:pPr>
      <w:tabs>
        <w:tab w:val="center" w:pos="4320"/>
        <w:tab w:val="right" w:pos="8640"/>
      </w:tabs>
    </w:pPr>
  </w:style>
  <w:style w:type="character" w:styleId="PageNumber">
    <w:name w:val="page number"/>
    <w:basedOn w:val="DefaultParagraphFont"/>
    <w:rsid w:val="004E5846"/>
  </w:style>
  <w:style w:type="paragraph" w:customStyle="1" w:styleId="TableText">
    <w:name w:val="Table Text"/>
    <w:basedOn w:val="Normal"/>
    <w:rsid w:val="004E5846"/>
  </w:style>
  <w:style w:type="paragraph" w:customStyle="1" w:styleId="NoteText">
    <w:name w:val="Note Text"/>
    <w:basedOn w:val="BlockText"/>
    <w:rsid w:val="004E5846"/>
  </w:style>
  <w:style w:type="paragraph" w:customStyle="1" w:styleId="TableHeaderText">
    <w:name w:val="Table Header Text"/>
    <w:basedOn w:val="TableText"/>
    <w:rsid w:val="004E5846"/>
    <w:pPr>
      <w:jc w:val="center"/>
    </w:pPr>
    <w:rPr>
      <w:b/>
    </w:rPr>
  </w:style>
  <w:style w:type="paragraph" w:customStyle="1" w:styleId="EmbeddedText">
    <w:name w:val="Embedded Text"/>
    <w:basedOn w:val="TableText"/>
    <w:rsid w:val="004E5846"/>
  </w:style>
  <w:style w:type="paragraph" w:styleId="TOC1">
    <w:name w:val="toc 1"/>
    <w:basedOn w:val="Normal"/>
    <w:next w:val="Normal"/>
    <w:semiHidden/>
    <w:rsid w:val="004E5846"/>
    <w:pPr>
      <w:tabs>
        <w:tab w:val="right" w:leader="dot" w:pos="10800"/>
      </w:tabs>
    </w:pPr>
  </w:style>
  <w:style w:type="paragraph" w:styleId="TOC2">
    <w:name w:val="toc 2"/>
    <w:basedOn w:val="Normal"/>
    <w:next w:val="Normal"/>
    <w:semiHidden/>
    <w:rsid w:val="004E5846"/>
    <w:pPr>
      <w:tabs>
        <w:tab w:val="right" w:leader="dot" w:pos="10800"/>
      </w:tabs>
      <w:ind w:left="240"/>
    </w:pPr>
  </w:style>
  <w:style w:type="paragraph" w:styleId="BodyText3">
    <w:name w:val="Body Text 3"/>
    <w:basedOn w:val="Normal"/>
    <w:rsid w:val="004E5846"/>
    <w:rPr>
      <w:b/>
      <w:sz w:val="18"/>
    </w:rPr>
  </w:style>
  <w:style w:type="paragraph" w:styleId="BodyText2">
    <w:name w:val="Body Text 2"/>
    <w:basedOn w:val="Normal"/>
    <w:rsid w:val="004E5846"/>
    <w:rPr>
      <w:b/>
      <w:sz w:val="16"/>
    </w:rPr>
  </w:style>
  <w:style w:type="paragraph" w:styleId="Title">
    <w:name w:val="Title"/>
    <w:basedOn w:val="Normal"/>
    <w:qFormat/>
    <w:rsid w:val="004E5846"/>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E5846"/>
    <w:rPr>
      <w:color w:val="0000FF"/>
      <w:u w:val="single"/>
    </w:rPr>
  </w:style>
  <w:style w:type="paragraph" w:customStyle="1" w:styleId="Extmemo">
    <w:name w:val="Extmemo"/>
    <w:basedOn w:val="Normal"/>
    <w:rsid w:val="004E5846"/>
    <w:pPr>
      <w:spacing w:line="240" w:lineRule="exact"/>
    </w:pPr>
    <w:rPr>
      <w:rFonts w:ascii="Times" w:hAnsi="Times"/>
    </w:rPr>
  </w:style>
  <w:style w:type="paragraph" w:styleId="PlainText">
    <w:name w:val="Plain Text"/>
    <w:basedOn w:val="Normal"/>
    <w:link w:val="PlainTextChar"/>
    <w:uiPriority w:val="99"/>
    <w:rsid w:val="004E5846"/>
    <w:rPr>
      <w:rFonts w:ascii="Courier New" w:hAnsi="Courier New"/>
      <w:sz w:val="20"/>
    </w:rPr>
  </w:style>
  <w:style w:type="character" w:styleId="FollowedHyperlink">
    <w:name w:val="FollowedHyperlink"/>
    <w:basedOn w:val="DefaultParagraphFont"/>
    <w:rsid w:val="004E5846"/>
    <w:rPr>
      <w:color w:val="800080"/>
      <w:u w:val="single"/>
    </w:rPr>
  </w:style>
  <w:style w:type="paragraph" w:styleId="DocumentMap">
    <w:name w:val="Document Map"/>
    <w:basedOn w:val="Normal"/>
    <w:semiHidden/>
    <w:rsid w:val="004E5846"/>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basedOn w:val="DefaultParagraphFont"/>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paragraph" w:styleId="ListParagraph">
    <w:name w:val="List Paragraph"/>
    <w:basedOn w:val="Normal"/>
    <w:uiPriority w:val="34"/>
    <w:qFormat/>
    <w:rsid w:val="00AA4EEF"/>
    <w:pPr>
      <w:ind w:left="720"/>
      <w:contextualSpacing/>
    </w:pPr>
  </w:style>
  <w:style w:type="paragraph" w:customStyle="1" w:styleId="BodySingle">
    <w:name w:val="BodySingle"/>
    <w:rsid w:val="00310A2A"/>
    <w:rPr>
      <w:rFonts w:ascii="Arial" w:hAnsi="Arial"/>
      <w:sz w:val="24"/>
    </w:rPr>
  </w:style>
  <w:style w:type="character" w:customStyle="1" w:styleId="PlainTextChar">
    <w:name w:val="Plain Text Char"/>
    <w:basedOn w:val="DefaultParagraphFont"/>
    <w:link w:val="PlainText"/>
    <w:uiPriority w:val="99"/>
    <w:rsid w:val="006A3C0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209925236">
      <w:bodyDiv w:val="1"/>
      <w:marLeft w:val="0"/>
      <w:marRight w:val="0"/>
      <w:marTop w:val="0"/>
      <w:marBottom w:val="0"/>
      <w:divBdr>
        <w:top w:val="none" w:sz="0" w:space="0" w:color="auto"/>
        <w:left w:val="none" w:sz="0" w:space="0" w:color="auto"/>
        <w:bottom w:val="none" w:sz="0" w:space="0" w:color="auto"/>
        <w:right w:val="none" w:sz="0" w:space="0" w:color="auto"/>
      </w:divBdr>
    </w:div>
    <w:div w:id="720597446">
      <w:bodyDiv w:val="1"/>
      <w:marLeft w:val="0"/>
      <w:marRight w:val="0"/>
      <w:marTop w:val="0"/>
      <w:marBottom w:val="0"/>
      <w:divBdr>
        <w:top w:val="none" w:sz="0" w:space="0" w:color="auto"/>
        <w:left w:val="none" w:sz="0" w:space="0" w:color="auto"/>
        <w:bottom w:val="none" w:sz="0" w:space="0" w:color="auto"/>
        <w:right w:val="none" w:sz="0" w:space="0" w:color="auto"/>
      </w:divBdr>
    </w:div>
    <w:div w:id="833422660">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 w:id="1613590959">
      <w:bodyDiv w:val="1"/>
      <w:marLeft w:val="0"/>
      <w:marRight w:val="0"/>
      <w:marTop w:val="0"/>
      <w:marBottom w:val="0"/>
      <w:divBdr>
        <w:top w:val="none" w:sz="0" w:space="0" w:color="auto"/>
        <w:left w:val="none" w:sz="0" w:space="0" w:color="auto"/>
        <w:bottom w:val="none" w:sz="0" w:space="0" w:color="auto"/>
        <w:right w:val="none" w:sz="0" w:space="0" w:color="auto"/>
      </w:divBdr>
    </w:div>
    <w:div w:id="17663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F475-4B29-48E4-B026-29192A6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6</TotalTime>
  <Pages>3</Pages>
  <Words>1003</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6399</CharactersWithSpaces>
  <SharedDoc>false</SharedDoc>
  <HLinks>
    <vt:vector size="48" baseType="variant">
      <vt:variant>
        <vt:i4>2621522</vt:i4>
      </vt:variant>
      <vt:variant>
        <vt:i4>18</vt:i4>
      </vt:variant>
      <vt:variant>
        <vt:i4>0</vt:i4>
      </vt:variant>
      <vt:variant>
        <vt:i4>5</vt:i4>
      </vt:variant>
      <vt:variant>
        <vt:lpwstr>mailto:payroll@doa.virginia.gov</vt:lpwstr>
      </vt:variant>
      <vt:variant>
        <vt:lpwstr/>
      </vt:variant>
      <vt:variant>
        <vt:i4>1114208</vt:i4>
      </vt:variant>
      <vt:variant>
        <vt:i4>15</vt:i4>
      </vt:variant>
      <vt:variant>
        <vt:i4>0</vt:i4>
      </vt:variant>
      <vt:variant>
        <vt:i4>5</vt:i4>
      </vt:variant>
      <vt:variant>
        <vt:lpwstr>http://www.doa.virginia.gov/Payroll/Training/Leave_Intro_Training/LEAVE_Intro_Training_Manual.cfm</vt:lpwstr>
      </vt:variant>
      <vt:variant>
        <vt:lpwstr/>
      </vt:variant>
      <vt:variant>
        <vt:i4>5242896</vt:i4>
      </vt:variant>
      <vt:variant>
        <vt:i4>12</vt:i4>
      </vt:variant>
      <vt:variant>
        <vt:i4>0</vt:i4>
      </vt:variant>
      <vt:variant>
        <vt:i4>5</vt:i4>
      </vt:variant>
      <vt:variant>
        <vt:lpwstr>http://www.doa.virginia.gov/Payroll/Training/CIPPS_Intro_Training/CIPPS_Training_Manual.cfm</vt:lpwstr>
      </vt:variant>
      <vt:variant>
        <vt:lpwstr/>
      </vt:variant>
      <vt:variant>
        <vt:i4>5242896</vt:i4>
      </vt:variant>
      <vt:variant>
        <vt:i4>9</vt:i4>
      </vt:variant>
      <vt:variant>
        <vt:i4>0</vt:i4>
      </vt:variant>
      <vt:variant>
        <vt:i4>5</vt:i4>
      </vt:variant>
      <vt:variant>
        <vt:lpwstr>http://www.doa.virginia.gov/Payroll/Training/CIPPS_Intro_Training/CIPPS_Training_Manual.cfm</vt:lpwstr>
      </vt:variant>
      <vt:variant>
        <vt:lpwstr/>
      </vt:variant>
      <vt:variant>
        <vt:i4>2621522</vt:i4>
      </vt:variant>
      <vt:variant>
        <vt:i4>6</vt:i4>
      </vt:variant>
      <vt:variant>
        <vt:i4>0</vt:i4>
      </vt:variant>
      <vt:variant>
        <vt:i4>5</vt:i4>
      </vt:variant>
      <vt:variant>
        <vt:lpwstr>mailto:payroll@doa.virginia.gov</vt:lpwstr>
      </vt:variant>
      <vt:variant>
        <vt:lpwstr/>
      </vt:variant>
      <vt:variant>
        <vt:i4>2818163</vt:i4>
      </vt:variant>
      <vt:variant>
        <vt:i4>3</vt:i4>
      </vt:variant>
      <vt:variant>
        <vt:i4>0</vt:i4>
      </vt:variant>
      <vt:variant>
        <vt:i4>5</vt:i4>
      </vt:variant>
      <vt:variant>
        <vt:lpwstr>https://covkc.virginia.gov/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Payroll Bulletin</dc:subject>
  <dc:creator>Virginia Department of Accounts</dc:creator>
  <cp:keywords>Payroll Bulletin</cp:keywords>
  <dc:description/>
  <cp:lastModifiedBy>Luc Hang</cp:lastModifiedBy>
  <cp:revision>8</cp:revision>
  <cp:lastPrinted>2013-03-05T16:30:00Z</cp:lastPrinted>
  <dcterms:created xsi:type="dcterms:W3CDTF">2013-06-21T18:57:00Z</dcterms:created>
  <dcterms:modified xsi:type="dcterms:W3CDTF">2013-06-24T17:24:00Z</dcterms:modified>
  <cp:category>Payroll Bulletin</cp:category>
</cp:coreProperties>
</file>