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B20211" w:rsidRDefault="00B20211" w:rsidP="00B20211">
      <w:pPr>
        <w:pStyle w:val="Header"/>
        <w:jc w:val="center"/>
        <w:rPr>
          <w:sz w:val="16"/>
        </w:rPr>
      </w:pPr>
    </w:p>
    <w:tbl>
      <w:tblPr>
        <w:tblW w:w="0" w:type="auto"/>
        <w:tblInd w:w="18" w:type="dxa"/>
        <w:tblLayout w:type="fixed"/>
        <w:tblLook w:val="0000"/>
      </w:tblPr>
      <w:tblGrid>
        <w:gridCol w:w="3348"/>
        <w:gridCol w:w="3366"/>
        <w:gridCol w:w="3366"/>
      </w:tblGrid>
      <w:tr w:rsidR="00B20211" w:rsidTr="007F51A7">
        <w:trPr>
          <w:cantSplit/>
        </w:trPr>
        <w:tc>
          <w:tcPr>
            <w:tcW w:w="3348" w:type="dxa"/>
            <w:tcBorders>
              <w:bottom w:val="double" w:sz="6" w:space="0" w:color="auto"/>
            </w:tcBorders>
          </w:tcPr>
          <w:p w:rsidR="00B20211" w:rsidRDefault="00B20211" w:rsidP="00E834E5">
            <w:pPr>
              <w:pStyle w:val="Header"/>
              <w:rPr>
                <w:b/>
                <w:sz w:val="20"/>
              </w:rPr>
            </w:pPr>
            <w:r>
              <w:rPr>
                <w:b/>
                <w:sz w:val="20"/>
              </w:rPr>
              <w:t>Calendar Year 20</w:t>
            </w:r>
            <w:r w:rsidR="00A4564F">
              <w:rPr>
                <w:b/>
                <w:sz w:val="20"/>
              </w:rPr>
              <w:t>1</w:t>
            </w:r>
            <w:r w:rsidR="00E834E5">
              <w:rPr>
                <w:b/>
                <w:sz w:val="20"/>
              </w:rPr>
              <w:t>3</w:t>
            </w:r>
          </w:p>
        </w:tc>
        <w:tc>
          <w:tcPr>
            <w:tcW w:w="3366" w:type="dxa"/>
            <w:tcBorders>
              <w:bottom w:val="double" w:sz="6" w:space="0" w:color="auto"/>
            </w:tcBorders>
          </w:tcPr>
          <w:p w:rsidR="00B20211" w:rsidRDefault="00610A2C" w:rsidP="00A00301">
            <w:pPr>
              <w:pStyle w:val="Header"/>
              <w:rPr>
                <w:b/>
                <w:sz w:val="20"/>
              </w:rPr>
            </w:pPr>
            <w:r>
              <w:rPr>
                <w:b/>
                <w:sz w:val="20"/>
              </w:rPr>
              <w:t xml:space="preserve">              </w:t>
            </w:r>
            <w:r w:rsidR="00A00301">
              <w:rPr>
                <w:b/>
                <w:sz w:val="20"/>
              </w:rPr>
              <w:t>October 7</w:t>
            </w:r>
            <w:r w:rsidR="00564691">
              <w:rPr>
                <w:b/>
                <w:sz w:val="20"/>
              </w:rPr>
              <w:t>,</w:t>
            </w:r>
            <w:r>
              <w:rPr>
                <w:b/>
                <w:sz w:val="20"/>
              </w:rPr>
              <w:t xml:space="preserve"> </w:t>
            </w:r>
            <w:r w:rsidR="00564691">
              <w:rPr>
                <w:b/>
                <w:sz w:val="20"/>
              </w:rPr>
              <w:t>2013</w:t>
            </w:r>
          </w:p>
        </w:tc>
        <w:tc>
          <w:tcPr>
            <w:tcW w:w="3366" w:type="dxa"/>
            <w:tcBorders>
              <w:bottom w:val="double" w:sz="6" w:space="0" w:color="auto"/>
            </w:tcBorders>
          </w:tcPr>
          <w:p w:rsidR="00B20211" w:rsidRDefault="00B20211" w:rsidP="00610A2C">
            <w:pPr>
              <w:pStyle w:val="Header"/>
              <w:jc w:val="right"/>
              <w:rPr>
                <w:b/>
                <w:sz w:val="20"/>
              </w:rPr>
            </w:pPr>
            <w:r>
              <w:rPr>
                <w:b/>
                <w:sz w:val="20"/>
              </w:rPr>
              <w:t>Volume 20</w:t>
            </w:r>
            <w:r w:rsidR="00A4564F">
              <w:rPr>
                <w:b/>
                <w:sz w:val="20"/>
              </w:rPr>
              <w:t>1</w:t>
            </w:r>
            <w:r w:rsidR="00564691">
              <w:rPr>
                <w:b/>
                <w:sz w:val="20"/>
              </w:rPr>
              <w:t>3-</w:t>
            </w:r>
            <w:r w:rsidR="00610A2C">
              <w:rPr>
                <w:b/>
                <w:sz w:val="20"/>
              </w:rPr>
              <w:t>10</w:t>
            </w:r>
          </w:p>
        </w:tc>
      </w:tr>
    </w:tbl>
    <w:p w:rsidR="00B20211" w:rsidRDefault="00B20211" w:rsidP="00B20211">
      <w:pPr>
        <w:tabs>
          <w:tab w:val="left" w:pos="990"/>
        </w:tabs>
        <w:jc w:val="center"/>
      </w:pPr>
    </w:p>
    <w:tbl>
      <w:tblPr>
        <w:tblW w:w="0" w:type="auto"/>
        <w:tblLook w:val="01E0"/>
      </w:tblPr>
      <w:tblGrid>
        <w:gridCol w:w="2245"/>
        <w:gridCol w:w="4112"/>
        <w:gridCol w:w="3795"/>
      </w:tblGrid>
      <w:tr w:rsidR="00B20211" w:rsidTr="00612422">
        <w:tc>
          <w:tcPr>
            <w:tcW w:w="2245" w:type="dxa"/>
          </w:tcPr>
          <w:p w:rsidR="00B20211" w:rsidRPr="00612422" w:rsidRDefault="00B20211" w:rsidP="00612422">
            <w:pPr>
              <w:tabs>
                <w:tab w:val="left" w:pos="990"/>
              </w:tabs>
              <w:spacing w:before="120"/>
              <w:rPr>
                <w:i/>
                <w:sz w:val="32"/>
                <w:szCs w:val="32"/>
              </w:rPr>
            </w:pPr>
            <w:r w:rsidRPr="00612422">
              <w:rPr>
                <w:i/>
                <w:sz w:val="32"/>
                <w:szCs w:val="32"/>
              </w:rPr>
              <w:t>In This Issue of the Payroll Bulletin…....</w:t>
            </w:r>
          </w:p>
          <w:p w:rsidR="00B20211" w:rsidRPr="00612422" w:rsidRDefault="00B20211" w:rsidP="00612422">
            <w:pPr>
              <w:spacing w:before="120"/>
              <w:rPr>
                <w:b/>
              </w:rPr>
            </w:pPr>
          </w:p>
        </w:tc>
        <w:tc>
          <w:tcPr>
            <w:tcW w:w="4112" w:type="dxa"/>
          </w:tcPr>
          <w:p w:rsidR="00E259BE" w:rsidRDefault="005549EA" w:rsidP="008B0EE3">
            <w:pPr>
              <w:numPr>
                <w:ilvl w:val="0"/>
                <w:numId w:val="2"/>
              </w:numPr>
              <w:tabs>
                <w:tab w:val="left" w:pos="990"/>
              </w:tabs>
              <w:spacing w:before="60"/>
              <w:ind w:left="547"/>
              <w:rPr>
                <w:b/>
                <w:sz w:val="20"/>
              </w:rPr>
            </w:pPr>
            <w:r>
              <w:rPr>
                <w:b/>
                <w:sz w:val="20"/>
              </w:rPr>
              <w:t>CIPPS Overtime Calculation Methods</w:t>
            </w:r>
          </w:p>
          <w:p w:rsidR="009F3E9D" w:rsidRDefault="009F3E9D" w:rsidP="009F3E9D">
            <w:pPr>
              <w:numPr>
                <w:ilvl w:val="0"/>
                <w:numId w:val="2"/>
              </w:numPr>
              <w:tabs>
                <w:tab w:val="left" w:pos="990"/>
              </w:tabs>
              <w:spacing w:before="60"/>
              <w:ind w:left="547"/>
              <w:rPr>
                <w:b/>
                <w:sz w:val="20"/>
              </w:rPr>
            </w:pPr>
            <w:r w:rsidRPr="00FC4278">
              <w:rPr>
                <w:b/>
                <w:sz w:val="20"/>
              </w:rPr>
              <w:t>Payroll@DOA.Virginia.gov</w:t>
            </w:r>
          </w:p>
          <w:p w:rsidR="008A40C6" w:rsidRPr="00B65B4E" w:rsidRDefault="009F3E9D" w:rsidP="009F3E9D">
            <w:pPr>
              <w:numPr>
                <w:ilvl w:val="0"/>
                <w:numId w:val="2"/>
              </w:numPr>
              <w:tabs>
                <w:tab w:val="left" w:pos="990"/>
              </w:tabs>
              <w:spacing w:before="60"/>
              <w:ind w:left="547"/>
              <w:rPr>
                <w:b/>
                <w:sz w:val="20"/>
              </w:rPr>
            </w:pPr>
            <w:r>
              <w:rPr>
                <w:b/>
                <w:sz w:val="20"/>
              </w:rPr>
              <w:t>PAT  Payroll Audit Tool and ARMICS</w:t>
            </w:r>
          </w:p>
        </w:tc>
        <w:tc>
          <w:tcPr>
            <w:tcW w:w="3795" w:type="dxa"/>
          </w:tcPr>
          <w:p w:rsidR="00B20211" w:rsidRPr="00612422" w:rsidRDefault="00B20211" w:rsidP="00612422">
            <w:pPr>
              <w:tabs>
                <w:tab w:val="left" w:pos="990"/>
              </w:tabs>
              <w:spacing w:before="120"/>
              <w:rPr>
                <w:sz w:val="20"/>
              </w:rPr>
            </w:pPr>
            <w:r w:rsidRPr="00612422">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8" w:history="1">
              <w:r w:rsidRPr="00612422">
                <w:rPr>
                  <w:rStyle w:val="Hyperlink"/>
                  <w:sz w:val="20"/>
                </w:rPr>
                <w:t>cathy.mcgill@doa.virginia.gov</w:t>
              </w:r>
            </w:hyperlink>
          </w:p>
          <w:p w:rsidR="00B20211" w:rsidRPr="00612422" w:rsidRDefault="00B20211" w:rsidP="00612422">
            <w:pPr>
              <w:tabs>
                <w:tab w:val="left" w:pos="990"/>
              </w:tabs>
              <w:spacing w:before="120"/>
              <w:jc w:val="both"/>
              <w:rPr>
                <w:sz w:val="20"/>
                <w:u w:val="single"/>
              </w:rPr>
            </w:pPr>
            <w:r w:rsidRPr="00612422">
              <w:rPr>
                <w:sz w:val="20"/>
                <w:u w:val="single"/>
              </w:rPr>
              <w:t>State Payroll Operations</w:t>
            </w:r>
          </w:p>
          <w:p w:rsidR="00B20211" w:rsidRPr="00612422" w:rsidRDefault="00B20211" w:rsidP="00612422">
            <w:pPr>
              <w:tabs>
                <w:tab w:val="left" w:pos="990"/>
              </w:tabs>
              <w:spacing w:before="120"/>
              <w:rPr>
                <w:sz w:val="20"/>
              </w:rPr>
            </w:pPr>
            <w:r w:rsidRPr="00612422">
              <w:rPr>
                <w:b/>
                <w:sz w:val="20"/>
              </w:rPr>
              <w:t>Director                         Lora L. George</w:t>
            </w:r>
          </w:p>
          <w:p w:rsidR="00B20211" w:rsidRPr="00612422" w:rsidRDefault="00B20211" w:rsidP="00612422">
            <w:pPr>
              <w:tabs>
                <w:tab w:val="left" w:pos="990"/>
              </w:tabs>
              <w:spacing w:before="120"/>
              <w:rPr>
                <w:szCs w:val="24"/>
              </w:rPr>
            </w:pPr>
            <w:r w:rsidRPr="00612422">
              <w:rPr>
                <w:sz w:val="20"/>
              </w:rPr>
              <w:t>Assistant Director          Cathy C. McGill</w:t>
            </w:r>
          </w:p>
        </w:tc>
      </w:tr>
    </w:tbl>
    <w:p w:rsidR="00B20211" w:rsidRPr="00C50FDD" w:rsidRDefault="00B20211" w:rsidP="00C50FDD">
      <w:pPr>
        <w:pStyle w:val="BlockLine"/>
        <w:spacing w:before="120"/>
        <w:ind w:left="1620"/>
        <w:rPr>
          <w:sz w:val="16"/>
          <w:szCs w:val="16"/>
        </w:rPr>
      </w:pPr>
    </w:p>
    <w:p w:rsidR="00781905" w:rsidRPr="00610A2C" w:rsidRDefault="005549EA" w:rsidP="00781905">
      <w:pPr>
        <w:pStyle w:val="Heading4"/>
        <w:spacing w:after="0"/>
        <w:rPr>
          <w:rFonts w:ascii="Times New Roman" w:hAnsi="Times New Roman"/>
          <w:b/>
          <w:bCs/>
          <w:sz w:val="16"/>
          <w:szCs w:val="16"/>
        </w:rPr>
      </w:pPr>
      <w:r>
        <w:rPr>
          <w:rFonts w:ascii="Times New Roman" w:hAnsi="Times New Roman"/>
          <w:b/>
          <w:bCs/>
          <w:sz w:val="28"/>
          <w:szCs w:val="28"/>
        </w:rPr>
        <w:t>CIPPS Overtime Calculation Methods</w:t>
      </w:r>
    </w:p>
    <w:p w:rsidR="00781905" w:rsidRPr="00C50FDD" w:rsidRDefault="00781905" w:rsidP="00781905">
      <w:pPr>
        <w:pStyle w:val="BlockLine"/>
        <w:ind w:left="1620"/>
        <w:rPr>
          <w:sz w:val="16"/>
          <w:szCs w:val="16"/>
        </w:rPr>
      </w:pPr>
    </w:p>
    <w:tbl>
      <w:tblPr>
        <w:tblW w:w="10188" w:type="dxa"/>
        <w:tblCellMar>
          <w:left w:w="0" w:type="dxa"/>
          <w:right w:w="0" w:type="dxa"/>
        </w:tblCellMar>
        <w:tblLook w:val="04A0"/>
      </w:tblPr>
      <w:tblGrid>
        <w:gridCol w:w="1713"/>
        <w:gridCol w:w="8475"/>
      </w:tblGrid>
      <w:tr w:rsidR="00781905" w:rsidTr="00781905">
        <w:trPr>
          <w:cantSplit/>
          <w:trHeight w:val="882"/>
        </w:trPr>
        <w:tc>
          <w:tcPr>
            <w:tcW w:w="1713" w:type="dxa"/>
            <w:tcMar>
              <w:top w:w="0" w:type="dxa"/>
              <w:left w:w="108" w:type="dxa"/>
              <w:bottom w:w="0" w:type="dxa"/>
              <w:right w:w="108" w:type="dxa"/>
            </w:tcMar>
            <w:hideMark/>
          </w:tcPr>
          <w:p w:rsidR="00781905" w:rsidRDefault="005549EA">
            <w:pPr>
              <w:pStyle w:val="Heading5"/>
              <w:rPr>
                <w:rFonts w:ascii="Times New Roman Bold" w:hAnsi="Times New Roman Bold"/>
                <w:bCs/>
                <w:sz w:val="24"/>
                <w:szCs w:val="24"/>
              </w:rPr>
            </w:pPr>
            <w:r>
              <w:rPr>
                <w:rFonts w:ascii="Times New Roman Bold" w:hAnsi="Times New Roman Bold"/>
                <w:bCs/>
                <w:sz w:val="24"/>
                <w:szCs w:val="24"/>
              </w:rPr>
              <w:t>FLSA Compliance</w:t>
            </w:r>
          </w:p>
        </w:tc>
        <w:tc>
          <w:tcPr>
            <w:tcW w:w="8475" w:type="dxa"/>
            <w:tcMar>
              <w:top w:w="0" w:type="dxa"/>
              <w:left w:w="108" w:type="dxa"/>
              <w:bottom w:w="0" w:type="dxa"/>
              <w:right w:w="108" w:type="dxa"/>
            </w:tcMar>
          </w:tcPr>
          <w:p w:rsidR="00781905" w:rsidRPr="00610A2C" w:rsidRDefault="005549EA" w:rsidP="00DB38ED">
            <w:pPr>
              <w:rPr>
                <w:rFonts w:eastAsiaTheme="minorHAnsi"/>
                <w:szCs w:val="24"/>
              </w:rPr>
            </w:pPr>
            <w:r w:rsidRPr="00610A2C">
              <w:rPr>
                <w:rFonts w:eastAsiaTheme="minorHAnsi"/>
                <w:szCs w:val="24"/>
              </w:rPr>
              <w:t xml:space="preserve">DHRM </w:t>
            </w:r>
            <w:r w:rsidR="00DB38ED">
              <w:rPr>
                <w:rFonts w:eastAsiaTheme="minorHAnsi"/>
                <w:szCs w:val="24"/>
              </w:rPr>
              <w:t xml:space="preserve">will soon distribute </w:t>
            </w:r>
            <w:r w:rsidRPr="00610A2C">
              <w:rPr>
                <w:rFonts w:eastAsiaTheme="minorHAnsi"/>
                <w:szCs w:val="24"/>
              </w:rPr>
              <w:t>a document that explains proper overtime calculation for employees who are receiving multiple rates of pay</w:t>
            </w:r>
            <w:r w:rsidRPr="00DB38ED">
              <w:rPr>
                <w:rFonts w:eastAsiaTheme="minorHAnsi"/>
                <w:szCs w:val="24"/>
              </w:rPr>
              <w:t xml:space="preserve">.  </w:t>
            </w:r>
            <w:r w:rsidR="00DB38ED" w:rsidRPr="00DB38ED">
              <w:t xml:space="preserve">When a non-exempt employee receives more than one hourly rate of pay, works in more than one position at the same agency at different hourly rates, or receives other payments (such as shift differentials, on-call pay, non-discretionary bonuses, temporary pay, etc.) during the work cycle, special FLSA rules apply when calculating the </w:t>
            </w:r>
            <w:r w:rsidR="00DB38ED" w:rsidRPr="00DB38ED">
              <w:rPr>
                <w:b/>
                <w:bCs/>
              </w:rPr>
              <w:t>regular rate</w:t>
            </w:r>
            <w:r w:rsidR="00DB38ED" w:rsidRPr="00DB38ED">
              <w:t xml:space="preserve"> of pay.  The employee’s </w:t>
            </w:r>
            <w:r w:rsidR="00DB38ED" w:rsidRPr="00DB38ED">
              <w:rPr>
                <w:b/>
                <w:bCs/>
              </w:rPr>
              <w:t>regular rate</w:t>
            </w:r>
            <w:r w:rsidR="00DB38ED" w:rsidRPr="00DB38ED">
              <w:t xml:space="preserve"> of pay is the amount of ALL remuneration for employment during a work cycle divided by the total number of hours worked during the work cycle.  (Note</w:t>
            </w:r>
            <w:r w:rsidR="00DB38ED" w:rsidRPr="00DB38ED">
              <w:rPr>
                <w:color w:val="00B050"/>
              </w:rPr>
              <w:t>:</w:t>
            </w:r>
            <w:r w:rsidR="00DB38ED" w:rsidRPr="00DB38ED">
              <w:t xml:space="preserve"> a work cycle is not the same as a pay period.)  The following sections will help agencies understand how to </w:t>
            </w:r>
            <w:r w:rsidR="00DB38ED" w:rsidRPr="00DB38ED">
              <w:rPr>
                <w:i/>
              </w:rPr>
              <w:t>properly enter overtime in CIPPS</w:t>
            </w:r>
            <w:r w:rsidR="00DB38ED">
              <w:t xml:space="preserve"> when situations such as Temp Pay, On-Call Pay and Shift are encountered.  </w:t>
            </w:r>
          </w:p>
        </w:tc>
      </w:tr>
    </w:tbl>
    <w:p w:rsidR="00781905" w:rsidRPr="00C50FDD" w:rsidRDefault="00781905" w:rsidP="00781905">
      <w:pPr>
        <w:pStyle w:val="BlockLine"/>
        <w:ind w:left="1620"/>
        <w:rPr>
          <w:sz w:val="16"/>
          <w:szCs w:val="16"/>
        </w:rPr>
      </w:pPr>
    </w:p>
    <w:tbl>
      <w:tblPr>
        <w:tblW w:w="10188" w:type="dxa"/>
        <w:tblLayout w:type="fixed"/>
        <w:tblLook w:val="0000"/>
      </w:tblPr>
      <w:tblGrid>
        <w:gridCol w:w="1728"/>
        <w:gridCol w:w="8460"/>
      </w:tblGrid>
      <w:tr w:rsidR="00B20211" w:rsidTr="00FA3473">
        <w:trPr>
          <w:cantSplit/>
          <w:trHeight w:val="2484"/>
        </w:trPr>
        <w:tc>
          <w:tcPr>
            <w:tcW w:w="1728" w:type="dxa"/>
          </w:tcPr>
          <w:p w:rsidR="00B20211" w:rsidRDefault="007D6C14" w:rsidP="00787C29">
            <w:pPr>
              <w:pStyle w:val="Heading5"/>
            </w:pPr>
            <w:r>
              <w:rPr>
                <w:rFonts w:ascii="Times New Roman Bold" w:hAnsi="Times New Roman Bold"/>
                <w:bCs/>
                <w:sz w:val="24"/>
                <w:szCs w:val="24"/>
              </w:rPr>
              <w:t xml:space="preserve">Method #1 – Automatic Average Overtime </w:t>
            </w:r>
            <w:r w:rsidR="00787C29">
              <w:rPr>
                <w:rFonts w:ascii="Times New Roman Bold" w:hAnsi="Times New Roman Bold"/>
                <w:bCs/>
                <w:sz w:val="24"/>
                <w:szCs w:val="24"/>
              </w:rPr>
              <w:t>Calculations</w:t>
            </w:r>
            <w:r>
              <w:rPr>
                <w:rFonts w:ascii="Times New Roman Bold" w:hAnsi="Times New Roman Bold"/>
                <w:bCs/>
                <w:sz w:val="24"/>
                <w:szCs w:val="24"/>
              </w:rPr>
              <w:t xml:space="preserve"> for Special Payments</w:t>
            </w:r>
          </w:p>
        </w:tc>
        <w:tc>
          <w:tcPr>
            <w:tcW w:w="8460" w:type="dxa"/>
          </w:tcPr>
          <w:p w:rsidR="000C7D52" w:rsidRPr="0058605B" w:rsidRDefault="000D7D3F" w:rsidP="000C7D52">
            <w:pPr>
              <w:pStyle w:val="Default"/>
              <w:rPr>
                <w:b/>
              </w:rPr>
            </w:pPr>
            <w:r w:rsidRPr="0058605B">
              <w:rPr>
                <w:b/>
              </w:rPr>
              <w:t xml:space="preserve">Method #1 will only calculate correctly </w:t>
            </w:r>
            <w:r w:rsidR="000C7D52" w:rsidRPr="0058605B">
              <w:rPr>
                <w:b/>
              </w:rPr>
              <w:t>if the following conditions are true:</w:t>
            </w:r>
          </w:p>
          <w:p w:rsidR="000D7D3F" w:rsidRPr="00610A2C" w:rsidRDefault="000D7D3F" w:rsidP="000C7D52">
            <w:pPr>
              <w:pStyle w:val="Default"/>
              <w:rPr>
                <w:sz w:val="16"/>
                <w:szCs w:val="16"/>
              </w:rPr>
            </w:pPr>
          </w:p>
          <w:p w:rsidR="000C7D52" w:rsidRPr="00610A2C" w:rsidRDefault="000C7D52" w:rsidP="000C7D52">
            <w:pPr>
              <w:pStyle w:val="Default"/>
              <w:numPr>
                <w:ilvl w:val="0"/>
                <w:numId w:val="5"/>
              </w:numPr>
            </w:pPr>
            <w:r w:rsidRPr="00610A2C">
              <w:t xml:space="preserve">The </w:t>
            </w:r>
            <w:r w:rsidR="00186195">
              <w:t>s</w:t>
            </w:r>
            <w:r w:rsidRPr="00610A2C">
              <w:t xml:space="preserve">pecial </w:t>
            </w:r>
            <w:r w:rsidR="00186195">
              <w:t>p</w:t>
            </w:r>
            <w:r w:rsidRPr="00610A2C">
              <w:t>ay does not have hours ass</w:t>
            </w:r>
            <w:r w:rsidR="00186195">
              <w:t xml:space="preserve">ociated with it.  For example, </w:t>
            </w:r>
            <w:r w:rsidR="00BE581D">
              <w:t>T</w:t>
            </w:r>
            <w:r w:rsidRPr="00610A2C">
              <w:t>emp Pay is usually disbursed as an additional flat dollar amount each pay period.  The amount paid is the same regardless of how many hours were worked in the pay period.</w:t>
            </w:r>
            <w:r w:rsidR="00787C29" w:rsidRPr="00610A2C">
              <w:t xml:space="preserve"> </w:t>
            </w:r>
          </w:p>
          <w:p w:rsidR="000C7D52" w:rsidRPr="00610A2C" w:rsidRDefault="000C7D52" w:rsidP="000C7D52">
            <w:pPr>
              <w:pStyle w:val="Default"/>
              <w:numPr>
                <w:ilvl w:val="0"/>
                <w:numId w:val="5"/>
              </w:numPr>
            </w:pPr>
            <w:r w:rsidRPr="00610A2C">
              <w:t xml:space="preserve">The overtime hours are keyed in </w:t>
            </w:r>
            <w:r w:rsidR="00223BC7" w:rsidRPr="00610A2C">
              <w:t xml:space="preserve">the same pay period that the </w:t>
            </w:r>
            <w:r w:rsidR="00BE581D">
              <w:t>special</w:t>
            </w:r>
            <w:r w:rsidR="00223BC7" w:rsidRPr="00610A2C">
              <w:t xml:space="preserve"> </w:t>
            </w:r>
            <w:r w:rsidR="00BE581D">
              <w:t>p</w:t>
            </w:r>
            <w:r w:rsidR="00223BC7" w:rsidRPr="00610A2C">
              <w:t>ay is processed</w:t>
            </w:r>
            <w:r w:rsidRPr="00610A2C">
              <w:t xml:space="preserve">.  For example, the employee is receiving an additional $100 each pay period for Temp Pay.  If the overtime hours are </w:t>
            </w:r>
            <w:r w:rsidR="00FF4750">
              <w:t>keyed in</w:t>
            </w:r>
            <w:r w:rsidRPr="00610A2C">
              <w:t xml:space="preserve"> a pay period in which the </w:t>
            </w:r>
            <w:r w:rsidR="000D7D3F" w:rsidRPr="00610A2C">
              <w:t xml:space="preserve">same amount of </w:t>
            </w:r>
            <w:r w:rsidRPr="00610A2C">
              <w:t xml:space="preserve">Temp Pay is still active, the overtime will calculate correctly.  However, if overtime hours are </w:t>
            </w:r>
            <w:r w:rsidR="00BE581D">
              <w:t>worked in</w:t>
            </w:r>
            <w:r w:rsidRPr="00610A2C">
              <w:t xml:space="preserve"> a prior work cycle that included Temp Pay and the Temp Pay has since then been discontinued, you should manually compute the overtime rate and key </w:t>
            </w:r>
            <w:r w:rsidR="000D7D3F" w:rsidRPr="00610A2C">
              <w:t>the amount manually.</w:t>
            </w:r>
          </w:p>
          <w:p w:rsidR="00FA30EC" w:rsidRPr="00610A2C" w:rsidRDefault="005B3C26" w:rsidP="00BE581D">
            <w:pPr>
              <w:pStyle w:val="Default"/>
              <w:numPr>
                <w:ilvl w:val="0"/>
                <w:numId w:val="5"/>
              </w:numPr>
            </w:pPr>
            <w:r w:rsidRPr="00610A2C">
              <w:t xml:space="preserve">The </w:t>
            </w:r>
            <w:r w:rsidR="00BE581D">
              <w:t>special pay</w:t>
            </w:r>
            <w:r w:rsidRPr="00610A2C">
              <w:t xml:space="preserve"> is set up on the </w:t>
            </w:r>
            <w:r w:rsidR="00223BC7" w:rsidRPr="00610A2C">
              <w:t>agenc</w:t>
            </w:r>
            <w:r w:rsidR="00BE581D">
              <w:t>y</w:t>
            </w:r>
            <w:r w:rsidR="00223BC7" w:rsidRPr="00610A2C">
              <w:t>’</w:t>
            </w:r>
            <w:r w:rsidR="00BE581D">
              <w:t>s</w:t>
            </w:r>
            <w:r w:rsidR="00223BC7" w:rsidRPr="00610A2C">
              <w:t xml:space="preserve"> company header</w:t>
            </w:r>
            <w:r w:rsidRPr="00610A2C">
              <w:t xml:space="preserve"> to be included in the average overtime rate.  </w:t>
            </w:r>
            <w:r w:rsidR="00223BC7" w:rsidRPr="00610A2C">
              <w:t>Temp Pay (Special Pay 32) and On</w:t>
            </w:r>
            <w:r w:rsidR="00BE581D">
              <w:t>-C</w:t>
            </w:r>
            <w:r w:rsidR="00223BC7" w:rsidRPr="00610A2C">
              <w:t>all Pay (Special Pay 28)</w:t>
            </w:r>
            <w:r w:rsidRPr="00610A2C">
              <w:t xml:space="preserve"> </w:t>
            </w:r>
            <w:r w:rsidR="000D7D3F" w:rsidRPr="00610A2C">
              <w:t xml:space="preserve">are included </w:t>
            </w:r>
            <w:r w:rsidR="00BE581D">
              <w:t xml:space="preserve">on all agency company headers </w:t>
            </w:r>
            <w:r w:rsidR="000D7D3F" w:rsidRPr="00610A2C">
              <w:t xml:space="preserve">as a </w:t>
            </w:r>
            <w:r w:rsidR="00BE581D">
              <w:t>s</w:t>
            </w:r>
            <w:r w:rsidR="000D7D3F" w:rsidRPr="00610A2C">
              <w:t>tatewide standard.  I</w:t>
            </w:r>
            <w:r w:rsidRPr="00610A2C">
              <w:t xml:space="preserve">f agencies have a specific </w:t>
            </w:r>
            <w:r w:rsidR="00BE581D">
              <w:t>special pay</w:t>
            </w:r>
            <w:r w:rsidRPr="00610A2C">
              <w:t xml:space="preserve"> that needs to be included in the overtime rate, please contact State Payroll Operations to request that it be added.</w:t>
            </w:r>
          </w:p>
        </w:tc>
      </w:tr>
    </w:tbl>
    <w:p w:rsidR="00D46AA5" w:rsidRPr="00C50FDD" w:rsidRDefault="00D46AA5" w:rsidP="00D46AA5">
      <w:pPr>
        <w:pStyle w:val="BlockLine"/>
        <w:ind w:left="1620"/>
        <w:rPr>
          <w:sz w:val="16"/>
          <w:szCs w:val="16"/>
        </w:rPr>
      </w:pPr>
    </w:p>
    <w:p w:rsidR="00BE581D" w:rsidRDefault="00BE581D" w:rsidP="00B65B4E">
      <w:pPr>
        <w:pStyle w:val="Heading4"/>
        <w:spacing w:after="0"/>
        <w:rPr>
          <w:rFonts w:ascii="Times New Roman" w:hAnsi="Times New Roman"/>
          <w:b/>
          <w:bCs/>
          <w:sz w:val="28"/>
          <w:szCs w:val="28"/>
        </w:rPr>
      </w:pPr>
    </w:p>
    <w:p w:rsidR="00B65B4E" w:rsidRDefault="00BE581D" w:rsidP="00A00301">
      <w:pPr>
        <w:rPr>
          <w:b/>
          <w:sz w:val="28"/>
          <w:szCs w:val="28"/>
        </w:rPr>
      </w:pPr>
      <w:r>
        <w:br w:type="page"/>
      </w:r>
      <w:r w:rsidR="000C7D52">
        <w:rPr>
          <w:b/>
          <w:bCs/>
          <w:sz w:val="28"/>
          <w:szCs w:val="28"/>
        </w:rPr>
        <w:lastRenderedPageBreak/>
        <w:t>CIPPS Overtime Calculation Methods</w:t>
      </w:r>
      <w:r w:rsidR="00B65B4E">
        <w:rPr>
          <w:b/>
          <w:sz w:val="28"/>
          <w:szCs w:val="28"/>
        </w:rPr>
        <w:t xml:space="preserve">, </w:t>
      </w:r>
      <w:r w:rsidR="00B65B4E" w:rsidRPr="00B65B4E">
        <w:rPr>
          <w:sz w:val="28"/>
          <w:szCs w:val="28"/>
        </w:rPr>
        <w:t>continued</w:t>
      </w:r>
    </w:p>
    <w:p w:rsidR="00B65B4E" w:rsidRDefault="00B65B4E" w:rsidP="00B65B4E">
      <w:pPr>
        <w:pStyle w:val="BlockLine"/>
        <w:ind w:left="162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8451"/>
      </w:tblGrid>
      <w:tr w:rsidR="00BE581D" w:rsidTr="00442DC0">
        <w:tc>
          <w:tcPr>
            <w:tcW w:w="1701" w:type="dxa"/>
          </w:tcPr>
          <w:p w:rsidR="00BE581D" w:rsidRDefault="00F61B5D" w:rsidP="00BE581D">
            <w:r w:rsidRPr="007D1F93">
              <w:rPr>
                <w:rFonts w:ascii="Times New Roman Bold" w:hAnsi="Times New Roman Bold"/>
                <w:bCs/>
                <w:szCs w:val="24"/>
              </w:rPr>
              <w:t xml:space="preserve">Method #1 – Automatic Average Overtime </w:t>
            </w:r>
            <w:r>
              <w:rPr>
                <w:rFonts w:ascii="Times New Roman Bold" w:hAnsi="Times New Roman Bold"/>
                <w:bCs/>
                <w:szCs w:val="24"/>
              </w:rPr>
              <w:t>Calculations</w:t>
            </w:r>
            <w:r w:rsidRPr="007D1F93">
              <w:rPr>
                <w:rFonts w:ascii="Times New Roman Bold" w:hAnsi="Times New Roman Bold"/>
                <w:bCs/>
                <w:szCs w:val="24"/>
              </w:rPr>
              <w:t xml:space="preserve"> for Special Payments, </w:t>
            </w:r>
            <w:r w:rsidRPr="007D1F93">
              <w:rPr>
                <w:rFonts w:ascii="Times New Roman Bold" w:hAnsi="Times New Roman Bold"/>
                <w:b/>
                <w:bCs/>
                <w:szCs w:val="24"/>
              </w:rPr>
              <w:t>continued</w:t>
            </w:r>
          </w:p>
        </w:tc>
        <w:tc>
          <w:tcPr>
            <w:tcW w:w="8451" w:type="dxa"/>
          </w:tcPr>
          <w:p w:rsidR="00BE581D" w:rsidRPr="00610A2C" w:rsidRDefault="00BE581D" w:rsidP="00BE581D">
            <w:pPr>
              <w:pStyle w:val="Default"/>
              <w:numPr>
                <w:ilvl w:val="0"/>
                <w:numId w:val="5"/>
              </w:numPr>
            </w:pPr>
            <w:r w:rsidRPr="00610A2C">
              <w:t>The employees’ H0BBN screen has been established as shown in the example below.  The Overtime Status must be a “5” in order to invoke the average overtime rate computation.</w:t>
            </w:r>
          </w:p>
          <w:p w:rsidR="00BE581D" w:rsidRPr="00610A2C" w:rsidRDefault="00BE581D" w:rsidP="00BE581D">
            <w:pPr>
              <w:pStyle w:val="Default"/>
              <w:rPr>
                <w:sz w:val="16"/>
                <w:szCs w:val="16"/>
              </w:rPr>
            </w:pPr>
          </w:p>
          <w:p w:rsidR="00BE581D" w:rsidRDefault="00BE581D" w:rsidP="00BE581D">
            <w:r w:rsidRPr="00610A2C">
              <w:t xml:space="preserve">If any one of the conditions above is not true – you must </w:t>
            </w:r>
            <w:r w:rsidR="001D10FC">
              <w:t xml:space="preserve">manually </w:t>
            </w:r>
            <w:r w:rsidRPr="00610A2C">
              <w:t xml:space="preserve">calculate the overtime due and </w:t>
            </w:r>
            <w:r w:rsidR="001D10FC">
              <w:t>key the overtime rate in the transaction</w:t>
            </w:r>
            <w:r w:rsidRPr="00610A2C">
              <w:t>.</w:t>
            </w:r>
          </w:p>
          <w:p w:rsidR="00F61B5D" w:rsidRPr="00442DC0" w:rsidRDefault="00F61B5D" w:rsidP="00BE581D">
            <w:pPr>
              <w:rPr>
                <w:sz w:val="16"/>
                <w:szCs w:val="16"/>
              </w:rPr>
            </w:pPr>
          </w:p>
          <w:p w:rsidR="00F61B5D" w:rsidRPr="0058605B" w:rsidRDefault="00F61B5D" w:rsidP="00F61B5D">
            <w:pPr>
              <w:pStyle w:val="Default"/>
              <w:rPr>
                <w:b/>
              </w:rPr>
            </w:pPr>
            <w:r w:rsidRPr="0058605B">
              <w:rPr>
                <w:b/>
              </w:rPr>
              <w:t xml:space="preserve">How to automatically include </w:t>
            </w:r>
            <w:r w:rsidR="001D10FC" w:rsidRPr="0058605B">
              <w:rPr>
                <w:b/>
              </w:rPr>
              <w:t>s</w:t>
            </w:r>
            <w:r w:rsidRPr="0058605B">
              <w:rPr>
                <w:b/>
              </w:rPr>
              <w:t xml:space="preserve">pecial pays in the </w:t>
            </w:r>
            <w:r w:rsidR="001D10FC" w:rsidRPr="0058605B">
              <w:rPr>
                <w:b/>
              </w:rPr>
              <w:t>o</w:t>
            </w:r>
            <w:r w:rsidRPr="0058605B">
              <w:rPr>
                <w:b/>
              </w:rPr>
              <w:t xml:space="preserve">vertime </w:t>
            </w:r>
            <w:r w:rsidR="001D10FC" w:rsidRPr="0058605B">
              <w:rPr>
                <w:b/>
              </w:rPr>
              <w:t>r</w:t>
            </w:r>
            <w:r w:rsidRPr="0058605B">
              <w:rPr>
                <w:b/>
              </w:rPr>
              <w:t>ate:</w:t>
            </w:r>
          </w:p>
          <w:p w:rsidR="00F61B5D" w:rsidRPr="00442DC0" w:rsidRDefault="00F61B5D" w:rsidP="00F61B5D">
            <w:pPr>
              <w:pStyle w:val="Default"/>
              <w:rPr>
                <w:sz w:val="16"/>
                <w:szCs w:val="16"/>
              </w:rPr>
            </w:pPr>
          </w:p>
          <w:p w:rsidR="00F61B5D" w:rsidRPr="0005597F" w:rsidRDefault="00F61B5D" w:rsidP="00F61B5D">
            <w:pPr>
              <w:pStyle w:val="Default"/>
              <w:numPr>
                <w:ilvl w:val="0"/>
                <w:numId w:val="6"/>
              </w:numPr>
            </w:pPr>
            <w:r w:rsidRPr="0005597F">
              <w:t xml:space="preserve">Change the Overtime Status on screen H0BBN to a “5”.  All of the other fields will remain the same.   The OT 1 and OT 2 </w:t>
            </w:r>
            <w:r w:rsidR="001D10FC">
              <w:t>P</w:t>
            </w:r>
            <w:r w:rsidRPr="0005597F">
              <w:t xml:space="preserve">remiums should reflect the employee’s </w:t>
            </w:r>
            <w:r w:rsidR="001D10FC">
              <w:t>o</w:t>
            </w:r>
            <w:r w:rsidRPr="0005597F">
              <w:t xml:space="preserve">vertime </w:t>
            </w:r>
            <w:r w:rsidR="001D10FC">
              <w:t>e</w:t>
            </w:r>
            <w:r w:rsidRPr="0005597F">
              <w:t>ligibility in PMIS.</w:t>
            </w:r>
            <w:r w:rsidR="00C52AB2">
              <w:t xml:space="preserve">  </w:t>
            </w:r>
            <w:r w:rsidRPr="0005597F">
              <w:t xml:space="preserve"> (The example below is for an employee with </w:t>
            </w:r>
            <w:r w:rsidR="00C52AB2">
              <w:t xml:space="preserve">an </w:t>
            </w:r>
            <w:r w:rsidRPr="0005597F">
              <w:t>Overtime Eligibility code of “Y”.  If the employee had</w:t>
            </w:r>
            <w:r w:rsidR="00C52AB2">
              <w:t xml:space="preserve"> an</w:t>
            </w:r>
            <w:r w:rsidRPr="0005597F">
              <w:t xml:space="preserve"> Overtime Eligibility Code of “C”, the OT 2 Premium would be 1.0.)</w:t>
            </w:r>
          </w:p>
          <w:p w:rsidR="00F61B5D" w:rsidRPr="007D1F93" w:rsidRDefault="00F61B5D" w:rsidP="00F61B5D">
            <w:pPr>
              <w:pStyle w:val="Default"/>
              <w:ind w:left="765"/>
              <w:rPr>
                <w:rFonts w:ascii="Calibri" w:hAnsi="Calibri"/>
              </w:rPr>
            </w:pPr>
          </w:p>
          <w:p w:rsidR="00F61B5D" w:rsidRPr="007D1F93" w:rsidRDefault="00F61B5D" w:rsidP="00F61B5D">
            <w:pPr>
              <w:pStyle w:val="Default"/>
              <w:ind w:left="765"/>
              <w:rPr>
                <w:rFonts w:ascii="Calibri" w:hAnsi="Calibri"/>
              </w:rPr>
            </w:pPr>
            <w:r>
              <w:rPr>
                <w:rFonts w:ascii="Calibri" w:hAnsi="Calibri"/>
                <w:noProof/>
                <w:sz w:val="22"/>
                <w:szCs w:val="22"/>
              </w:rPr>
              <w:drawing>
                <wp:inline distT="0" distB="0" distL="0" distR="0">
                  <wp:extent cx="4722496" cy="1341120"/>
                  <wp:effectExtent l="19050" t="0" r="1904"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718103" cy="1339872"/>
                          </a:xfrm>
                          <a:prstGeom prst="rect">
                            <a:avLst/>
                          </a:prstGeom>
                          <a:noFill/>
                          <a:ln w="9525">
                            <a:noFill/>
                            <a:miter lim="800000"/>
                            <a:headEnd/>
                            <a:tailEnd/>
                          </a:ln>
                        </pic:spPr>
                      </pic:pic>
                    </a:graphicData>
                  </a:graphic>
                </wp:inline>
              </w:drawing>
            </w:r>
            <w:r w:rsidRPr="007D1F93">
              <w:rPr>
                <w:rFonts w:ascii="Calibri" w:hAnsi="Calibri"/>
              </w:rPr>
              <w:t xml:space="preserve">   </w:t>
            </w:r>
          </w:p>
          <w:p w:rsidR="00C661B2" w:rsidRDefault="00C661B2" w:rsidP="00F61B5D"/>
          <w:p w:rsidR="00442DC0" w:rsidRDefault="00F61B5D" w:rsidP="00C661B2">
            <w:pPr>
              <w:pStyle w:val="ListParagraph"/>
              <w:numPr>
                <w:ilvl w:val="0"/>
                <w:numId w:val="6"/>
              </w:numPr>
            </w:pPr>
            <w:r w:rsidRPr="0005597F">
              <w:t xml:space="preserve">Key the overtime transaction as normal on screen HUA03.  </w:t>
            </w:r>
            <w:r w:rsidR="001E0A5A">
              <w:t>U</w:t>
            </w:r>
            <w:r w:rsidR="001E0A5A" w:rsidRPr="0005597F">
              <w:t xml:space="preserve">se a “1” in the overtime indicator </w:t>
            </w:r>
            <w:r w:rsidR="001E0A5A">
              <w:t>i</w:t>
            </w:r>
            <w:r w:rsidRPr="0005597F">
              <w:t>f the overtime is for straight time</w:t>
            </w:r>
            <w:r w:rsidR="001E0A5A">
              <w:t>.</w:t>
            </w:r>
            <w:r w:rsidRPr="0005597F">
              <w:t xml:space="preserve">  </w:t>
            </w:r>
            <w:r w:rsidR="00C52AB2">
              <w:t>U</w:t>
            </w:r>
            <w:r w:rsidR="00C52AB2" w:rsidRPr="0005597F">
              <w:t xml:space="preserve">se a “2” in the overtime indicator </w:t>
            </w:r>
            <w:r w:rsidR="00C52AB2">
              <w:t>i</w:t>
            </w:r>
            <w:r w:rsidRPr="0005597F">
              <w:t>f the overtime is for premium overtime.</w:t>
            </w:r>
          </w:p>
          <w:p w:rsidR="00442DC0" w:rsidRPr="00442DC0" w:rsidRDefault="00442DC0" w:rsidP="00442DC0">
            <w:pPr>
              <w:rPr>
                <w:sz w:val="16"/>
                <w:szCs w:val="16"/>
              </w:rPr>
            </w:pPr>
          </w:p>
          <w:p w:rsidR="00442DC0" w:rsidRPr="0005597F" w:rsidRDefault="00F61B5D" w:rsidP="00442DC0">
            <w:pPr>
              <w:pStyle w:val="Default"/>
            </w:pPr>
            <w:r w:rsidRPr="0005597F">
              <w:t xml:space="preserve">    </w:t>
            </w:r>
            <w:r w:rsidR="00442DC0" w:rsidRPr="0005597F">
              <w:rPr>
                <w:b/>
              </w:rPr>
              <w:t>NOTES:</w:t>
            </w:r>
            <w:r w:rsidR="00442DC0" w:rsidRPr="0005597F">
              <w:t xml:space="preserve">  </w:t>
            </w:r>
          </w:p>
          <w:p w:rsidR="00442DC0" w:rsidRPr="00442DC0" w:rsidRDefault="00442DC0" w:rsidP="00442DC0">
            <w:pPr>
              <w:pStyle w:val="Default"/>
              <w:ind w:left="765"/>
              <w:rPr>
                <w:sz w:val="16"/>
                <w:szCs w:val="16"/>
              </w:rPr>
            </w:pPr>
          </w:p>
          <w:p w:rsidR="00442DC0" w:rsidRPr="00442DC0" w:rsidRDefault="00907404" w:rsidP="00442DC0">
            <w:pPr>
              <w:pStyle w:val="Default"/>
              <w:numPr>
                <w:ilvl w:val="1"/>
                <w:numId w:val="6"/>
              </w:numPr>
              <w:ind w:left="720"/>
              <w:rPr>
                <w:sz w:val="22"/>
                <w:szCs w:val="22"/>
              </w:rPr>
            </w:pPr>
            <w:r>
              <w:rPr>
                <w:sz w:val="22"/>
                <w:szCs w:val="22"/>
              </w:rPr>
              <w:t>T</w:t>
            </w:r>
            <w:r w:rsidR="00442DC0" w:rsidRPr="00442DC0">
              <w:rPr>
                <w:sz w:val="22"/>
                <w:szCs w:val="22"/>
              </w:rPr>
              <w:t xml:space="preserve">wo warning messages </w:t>
            </w:r>
            <w:r>
              <w:rPr>
                <w:sz w:val="22"/>
                <w:szCs w:val="22"/>
              </w:rPr>
              <w:t xml:space="preserve">will be received </w:t>
            </w:r>
            <w:r w:rsidR="00442DC0" w:rsidRPr="00442DC0">
              <w:rPr>
                <w:sz w:val="22"/>
                <w:szCs w:val="22"/>
              </w:rPr>
              <w:t xml:space="preserve">when the </w:t>
            </w:r>
            <w:r w:rsidR="00D04E9E">
              <w:rPr>
                <w:sz w:val="22"/>
                <w:szCs w:val="22"/>
              </w:rPr>
              <w:t>Overtime S</w:t>
            </w:r>
            <w:r w:rsidR="00442DC0" w:rsidRPr="00442DC0">
              <w:rPr>
                <w:sz w:val="22"/>
                <w:szCs w:val="22"/>
              </w:rPr>
              <w:t xml:space="preserve">tatus </w:t>
            </w:r>
            <w:r>
              <w:rPr>
                <w:sz w:val="22"/>
                <w:szCs w:val="22"/>
              </w:rPr>
              <w:t xml:space="preserve">is changed to </w:t>
            </w:r>
            <w:r w:rsidR="00442DC0" w:rsidRPr="00442DC0">
              <w:rPr>
                <w:sz w:val="22"/>
                <w:szCs w:val="22"/>
              </w:rPr>
              <w:t>a “5”.  The messages are “7602W-SALARY EMP HAS AVG OTIME” and “7709W-OTIME WILL BE PAY PERIOD CALC”.  Simply press enter again to remove the warning messages and continue.</w:t>
            </w:r>
          </w:p>
          <w:p w:rsidR="00442DC0" w:rsidRPr="00442DC0" w:rsidRDefault="00442DC0" w:rsidP="00442DC0">
            <w:pPr>
              <w:pStyle w:val="Default"/>
              <w:rPr>
                <w:sz w:val="22"/>
                <w:szCs w:val="22"/>
              </w:rPr>
            </w:pPr>
          </w:p>
          <w:p w:rsidR="00442DC0" w:rsidRPr="00442DC0" w:rsidRDefault="00442DC0" w:rsidP="00442DC0">
            <w:pPr>
              <w:pStyle w:val="Default"/>
              <w:numPr>
                <w:ilvl w:val="1"/>
                <w:numId w:val="6"/>
              </w:numPr>
              <w:ind w:left="720"/>
              <w:rPr>
                <w:sz w:val="22"/>
                <w:szCs w:val="22"/>
              </w:rPr>
            </w:pPr>
            <w:r w:rsidRPr="00442DC0">
              <w:rPr>
                <w:sz w:val="22"/>
                <w:szCs w:val="22"/>
              </w:rPr>
              <w:t xml:space="preserve">The CIPPS to PMIS interface is programmed only to insert a “3” as the Overtime Status when a change to the Overtime Eligibility Code is made in PMIS.  If </w:t>
            </w:r>
            <w:r w:rsidR="00933462">
              <w:rPr>
                <w:sz w:val="22"/>
                <w:szCs w:val="22"/>
              </w:rPr>
              <w:t>the Overtime S</w:t>
            </w:r>
            <w:r w:rsidRPr="00442DC0">
              <w:rPr>
                <w:sz w:val="22"/>
                <w:szCs w:val="22"/>
              </w:rPr>
              <w:t xml:space="preserve">tatus </w:t>
            </w:r>
            <w:r w:rsidR="00933462">
              <w:rPr>
                <w:sz w:val="22"/>
                <w:szCs w:val="22"/>
              </w:rPr>
              <w:t xml:space="preserve">is changed to </w:t>
            </w:r>
            <w:r w:rsidRPr="00442DC0">
              <w:rPr>
                <w:sz w:val="22"/>
                <w:szCs w:val="22"/>
              </w:rPr>
              <w:t xml:space="preserve">“5” </w:t>
            </w:r>
            <w:r w:rsidR="00933462">
              <w:rPr>
                <w:sz w:val="22"/>
                <w:szCs w:val="22"/>
              </w:rPr>
              <w:t xml:space="preserve">in CIPPS </w:t>
            </w:r>
            <w:r w:rsidRPr="00442DC0">
              <w:rPr>
                <w:sz w:val="22"/>
                <w:szCs w:val="22"/>
              </w:rPr>
              <w:t xml:space="preserve">and subsequently the U082 Report shows a change to the Overtime Eligibility Code </w:t>
            </w:r>
            <w:r w:rsidR="00933462">
              <w:rPr>
                <w:sz w:val="22"/>
                <w:szCs w:val="22"/>
              </w:rPr>
              <w:t xml:space="preserve">from PMIS, then the Overtime Status on </w:t>
            </w:r>
            <w:r w:rsidRPr="00442DC0">
              <w:rPr>
                <w:sz w:val="22"/>
                <w:szCs w:val="22"/>
              </w:rPr>
              <w:t xml:space="preserve">H0BBN </w:t>
            </w:r>
            <w:r w:rsidR="00933462">
              <w:rPr>
                <w:sz w:val="22"/>
                <w:szCs w:val="22"/>
              </w:rPr>
              <w:t xml:space="preserve">will need to be changed </w:t>
            </w:r>
            <w:r w:rsidRPr="00442DC0">
              <w:rPr>
                <w:sz w:val="22"/>
                <w:szCs w:val="22"/>
              </w:rPr>
              <w:t>back to “5”</w:t>
            </w:r>
            <w:r w:rsidR="00933462">
              <w:rPr>
                <w:sz w:val="22"/>
                <w:szCs w:val="22"/>
              </w:rPr>
              <w:t xml:space="preserve"> again in CIPPS</w:t>
            </w:r>
            <w:r w:rsidRPr="00442DC0">
              <w:rPr>
                <w:sz w:val="22"/>
                <w:szCs w:val="22"/>
              </w:rPr>
              <w:t>.</w:t>
            </w:r>
          </w:p>
          <w:p w:rsidR="00442DC0" w:rsidRPr="00442DC0" w:rsidRDefault="00442DC0" w:rsidP="00442DC0">
            <w:pPr>
              <w:pStyle w:val="ListParagraph"/>
              <w:rPr>
                <w:sz w:val="22"/>
                <w:szCs w:val="22"/>
              </w:rPr>
            </w:pPr>
          </w:p>
          <w:p w:rsidR="00F61B5D" w:rsidRDefault="009E3854" w:rsidP="009E3854">
            <w:pPr>
              <w:pStyle w:val="Default"/>
              <w:numPr>
                <w:ilvl w:val="1"/>
                <w:numId w:val="6"/>
              </w:numPr>
              <w:ind w:left="720"/>
            </w:pPr>
            <w:r>
              <w:rPr>
                <w:sz w:val="22"/>
                <w:szCs w:val="22"/>
              </w:rPr>
              <w:t>I</w:t>
            </w:r>
            <w:r w:rsidRPr="00442DC0">
              <w:rPr>
                <w:sz w:val="22"/>
                <w:szCs w:val="22"/>
              </w:rPr>
              <w:t xml:space="preserve">t is recommended that </w:t>
            </w:r>
            <w:r>
              <w:rPr>
                <w:sz w:val="22"/>
                <w:szCs w:val="22"/>
              </w:rPr>
              <w:t>th</w:t>
            </w:r>
            <w:r w:rsidRPr="00442DC0">
              <w:rPr>
                <w:sz w:val="22"/>
                <w:szCs w:val="22"/>
              </w:rPr>
              <w:t xml:space="preserve">e H0BBN </w:t>
            </w:r>
            <w:r>
              <w:rPr>
                <w:sz w:val="22"/>
                <w:szCs w:val="22"/>
              </w:rPr>
              <w:t>Overtime S</w:t>
            </w:r>
            <w:r w:rsidRPr="00442DC0">
              <w:rPr>
                <w:sz w:val="22"/>
                <w:szCs w:val="22"/>
              </w:rPr>
              <w:t xml:space="preserve">tatus </w:t>
            </w:r>
            <w:r>
              <w:rPr>
                <w:sz w:val="22"/>
                <w:szCs w:val="22"/>
              </w:rPr>
              <w:t xml:space="preserve">should be changed </w:t>
            </w:r>
            <w:r w:rsidRPr="00442DC0">
              <w:rPr>
                <w:sz w:val="22"/>
                <w:szCs w:val="22"/>
              </w:rPr>
              <w:t>back to a “3”</w:t>
            </w:r>
            <w:r>
              <w:rPr>
                <w:sz w:val="22"/>
                <w:szCs w:val="22"/>
              </w:rPr>
              <w:t xml:space="preserve"> w</w:t>
            </w:r>
            <w:r w:rsidR="00442DC0" w:rsidRPr="00442DC0">
              <w:rPr>
                <w:sz w:val="22"/>
                <w:szCs w:val="22"/>
              </w:rPr>
              <w:t xml:space="preserve">hen the employee is no longer actively receiving the </w:t>
            </w:r>
            <w:r>
              <w:rPr>
                <w:sz w:val="22"/>
                <w:szCs w:val="22"/>
              </w:rPr>
              <w:t>s</w:t>
            </w:r>
            <w:r w:rsidR="00442DC0" w:rsidRPr="00442DC0">
              <w:rPr>
                <w:sz w:val="22"/>
                <w:szCs w:val="22"/>
              </w:rPr>
              <w:t>pecial pay.   If late overtime needs to be paid to the employee for a work cycle that involve</w:t>
            </w:r>
            <w:r>
              <w:rPr>
                <w:sz w:val="22"/>
                <w:szCs w:val="22"/>
              </w:rPr>
              <w:t>d</w:t>
            </w:r>
            <w:r w:rsidR="00442DC0" w:rsidRPr="00442DC0">
              <w:rPr>
                <w:sz w:val="22"/>
                <w:szCs w:val="22"/>
              </w:rPr>
              <w:t xml:space="preserve"> the </w:t>
            </w:r>
            <w:r>
              <w:rPr>
                <w:sz w:val="22"/>
                <w:szCs w:val="22"/>
              </w:rPr>
              <w:t>s</w:t>
            </w:r>
            <w:r w:rsidR="003A1803">
              <w:rPr>
                <w:sz w:val="22"/>
                <w:szCs w:val="22"/>
              </w:rPr>
              <w:t>pecial pay, and that s</w:t>
            </w:r>
            <w:r w:rsidR="00442DC0" w:rsidRPr="00442DC0">
              <w:rPr>
                <w:sz w:val="22"/>
                <w:szCs w:val="22"/>
              </w:rPr>
              <w:t xml:space="preserve">pecial pay is no longer active, the proper overtime rate </w:t>
            </w:r>
            <w:r>
              <w:rPr>
                <w:sz w:val="22"/>
                <w:szCs w:val="22"/>
              </w:rPr>
              <w:t xml:space="preserve">will have to be </w:t>
            </w:r>
            <w:r w:rsidR="00442DC0" w:rsidRPr="00442DC0">
              <w:rPr>
                <w:sz w:val="22"/>
                <w:szCs w:val="22"/>
              </w:rPr>
              <w:t xml:space="preserve">manually </w:t>
            </w:r>
            <w:r>
              <w:rPr>
                <w:sz w:val="22"/>
                <w:szCs w:val="22"/>
              </w:rPr>
              <w:t xml:space="preserve">calculated </w:t>
            </w:r>
            <w:r w:rsidR="00442DC0" w:rsidRPr="00442DC0">
              <w:rPr>
                <w:sz w:val="22"/>
                <w:szCs w:val="22"/>
              </w:rPr>
              <w:t>and enter</w:t>
            </w:r>
            <w:r>
              <w:rPr>
                <w:sz w:val="22"/>
                <w:szCs w:val="22"/>
              </w:rPr>
              <w:t xml:space="preserve">ed </w:t>
            </w:r>
            <w:r w:rsidR="00442DC0" w:rsidRPr="00442DC0">
              <w:rPr>
                <w:sz w:val="22"/>
                <w:szCs w:val="22"/>
              </w:rPr>
              <w:t xml:space="preserve">as an override.   </w:t>
            </w:r>
            <w:r w:rsidR="00442DC0" w:rsidRPr="0005597F">
              <w:t xml:space="preserve"> </w:t>
            </w:r>
            <w:r w:rsidR="00F61B5D" w:rsidRPr="0005597F">
              <w:t xml:space="preserve">                                                        </w:t>
            </w:r>
          </w:p>
        </w:tc>
      </w:tr>
    </w:tbl>
    <w:p w:rsidR="003739A2" w:rsidRPr="00EA3AF9" w:rsidRDefault="003739A2" w:rsidP="003739A2">
      <w:pPr>
        <w:tabs>
          <w:tab w:val="left" w:pos="3402"/>
        </w:tabs>
        <w:rPr>
          <w:sz w:val="16"/>
          <w:szCs w:val="16"/>
        </w:rPr>
      </w:pPr>
    </w:p>
    <w:p w:rsidR="003739A2" w:rsidRPr="00544B0B" w:rsidRDefault="003739A2" w:rsidP="003739A2">
      <w:pPr>
        <w:pStyle w:val="BlockLine"/>
        <w:spacing w:before="0"/>
        <w:ind w:left="1354"/>
        <w:jc w:val="right"/>
        <w:rPr>
          <w:i/>
          <w:sz w:val="20"/>
        </w:rPr>
      </w:pPr>
      <w:r>
        <w:rPr>
          <w:i/>
          <w:sz w:val="20"/>
        </w:rPr>
        <w:t>Continued on next page</w:t>
      </w:r>
    </w:p>
    <w:p w:rsidR="003C4434" w:rsidRDefault="003C4434">
      <w:pPr>
        <w:rPr>
          <w:b/>
          <w:bCs/>
          <w:sz w:val="28"/>
          <w:szCs w:val="28"/>
        </w:rPr>
      </w:pPr>
      <w:r>
        <w:rPr>
          <w:b/>
          <w:bCs/>
          <w:sz w:val="28"/>
          <w:szCs w:val="28"/>
        </w:rPr>
        <w:br w:type="page"/>
      </w:r>
    </w:p>
    <w:p w:rsidR="00D326B8" w:rsidRDefault="00D326B8" w:rsidP="00D326B8">
      <w:pPr>
        <w:pStyle w:val="Heading4"/>
        <w:spacing w:after="0"/>
        <w:rPr>
          <w:rFonts w:ascii="Times New Roman" w:hAnsi="Times New Roman"/>
          <w:b/>
          <w:sz w:val="28"/>
          <w:szCs w:val="28"/>
        </w:rPr>
      </w:pPr>
      <w:r>
        <w:rPr>
          <w:rFonts w:ascii="Times New Roman" w:hAnsi="Times New Roman"/>
          <w:b/>
          <w:bCs/>
          <w:sz w:val="28"/>
          <w:szCs w:val="28"/>
        </w:rPr>
        <w:lastRenderedPageBreak/>
        <w:t>CIPPS Overtime Calculation Methods</w:t>
      </w:r>
      <w:r>
        <w:rPr>
          <w:rFonts w:ascii="Times New Roman" w:hAnsi="Times New Roman"/>
          <w:b/>
          <w:sz w:val="28"/>
          <w:szCs w:val="28"/>
        </w:rPr>
        <w:t xml:space="preserve">, </w:t>
      </w:r>
      <w:r w:rsidRPr="00B65B4E">
        <w:rPr>
          <w:rFonts w:ascii="Times New Roman" w:hAnsi="Times New Roman"/>
          <w:sz w:val="28"/>
          <w:szCs w:val="28"/>
        </w:rPr>
        <w:t>continued</w:t>
      </w:r>
    </w:p>
    <w:p w:rsidR="00D326B8" w:rsidRDefault="00D326B8" w:rsidP="00D326B8">
      <w:pPr>
        <w:pStyle w:val="BlockLine"/>
        <w:ind w:left="1620"/>
        <w:rPr>
          <w:sz w:val="16"/>
          <w:szCs w:val="16"/>
        </w:rPr>
      </w:pPr>
    </w:p>
    <w:tbl>
      <w:tblPr>
        <w:tblW w:w="10188" w:type="dxa"/>
        <w:tblLayout w:type="fixed"/>
        <w:tblLook w:val="0000"/>
      </w:tblPr>
      <w:tblGrid>
        <w:gridCol w:w="1728"/>
        <w:gridCol w:w="8460"/>
      </w:tblGrid>
      <w:tr w:rsidR="007D6C14" w:rsidTr="007F5B01">
        <w:trPr>
          <w:cantSplit/>
          <w:trHeight w:val="375"/>
        </w:trPr>
        <w:tc>
          <w:tcPr>
            <w:tcW w:w="1728" w:type="dxa"/>
          </w:tcPr>
          <w:p w:rsidR="007D6C14" w:rsidRDefault="007D6C14" w:rsidP="00787C29">
            <w:pPr>
              <w:pStyle w:val="Heading5"/>
            </w:pPr>
            <w:r>
              <w:rPr>
                <w:rFonts w:ascii="Times New Roman Bold" w:hAnsi="Times New Roman Bold"/>
                <w:bCs/>
                <w:sz w:val="24"/>
                <w:szCs w:val="24"/>
              </w:rPr>
              <w:t xml:space="preserve">Method #1 – Automatic Average Overtime </w:t>
            </w:r>
            <w:r w:rsidR="00787C29">
              <w:rPr>
                <w:rFonts w:ascii="Times New Roman Bold" w:hAnsi="Times New Roman Bold"/>
                <w:bCs/>
                <w:sz w:val="24"/>
                <w:szCs w:val="24"/>
              </w:rPr>
              <w:t>Calcu</w:t>
            </w:r>
            <w:r w:rsidR="00D02868">
              <w:rPr>
                <w:rFonts w:ascii="Times New Roman Bold" w:hAnsi="Times New Roman Bold"/>
                <w:bCs/>
                <w:sz w:val="24"/>
                <w:szCs w:val="24"/>
              </w:rPr>
              <w:t>l</w:t>
            </w:r>
            <w:r w:rsidR="00787C29">
              <w:rPr>
                <w:rFonts w:ascii="Times New Roman Bold" w:hAnsi="Times New Roman Bold"/>
                <w:bCs/>
                <w:sz w:val="24"/>
                <w:szCs w:val="24"/>
              </w:rPr>
              <w:t>ations</w:t>
            </w:r>
            <w:r>
              <w:rPr>
                <w:rFonts w:ascii="Times New Roman Bold" w:hAnsi="Times New Roman Bold"/>
                <w:bCs/>
                <w:sz w:val="24"/>
                <w:szCs w:val="24"/>
              </w:rPr>
              <w:t xml:space="preserve"> for Special Payments, </w:t>
            </w:r>
            <w:r>
              <w:rPr>
                <w:rFonts w:ascii="Times New Roman Bold" w:hAnsi="Times New Roman Bold"/>
                <w:b w:val="0"/>
                <w:bCs/>
                <w:sz w:val="24"/>
                <w:szCs w:val="24"/>
              </w:rPr>
              <w:t>continued</w:t>
            </w:r>
          </w:p>
        </w:tc>
        <w:tc>
          <w:tcPr>
            <w:tcW w:w="8460" w:type="dxa"/>
          </w:tcPr>
          <w:p w:rsidR="007D6C14" w:rsidRPr="0058605B" w:rsidRDefault="007D6C14" w:rsidP="007D6C14">
            <w:pPr>
              <w:pStyle w:val="Default"/>
              <w:rPr>
                <w:b/>
              </w:rPr>
            </w:pPr>
            <w:r w:rsidRPr="0058605B">
              <w:rPr>
                <w:b/>
              </w:rPr>
              <w:t>CIPPS computation explanation for Method #1</w:t>
            </w:r>
            <w:r w:rsidR="0083175A" w:rsidRPr="0058605B">
              <w:rPr>
                <w:b/>
              </w:rPr>
              <w:t>:</w:t>
            </w:r>
          </w:p>
          <w:p w:rsidR="0083175A" w:rsidRPr="003C4434" w:rsidRDefault="0083175A" w:rsidP="007D6C14">
            <w:pPr>
              <w:pStyle w:val="Default"/>
              <w:rPr>
                <w:sz w:val="16"/>
                <w:szCs w:val="16"/>
              </w:rPr>
            </w:pPr>
          </w:p>
          <w:p w:rsidR="0083175A" w:rsidRPr="00A12580" w:rsidRDefault="0083175A" w:rsidP="00077AD2">
            <w:pPr>
              <w:pStyle w:val="Default"/>
            </w:pPr>
            <w:r w:rsidRPr="00A12580">
              <w:t xml:space="preserve">Example: </w:t>
            </w:r>
            <w:r w:rsidR="00077AD2" w:rsidRPr="00A12580">
              <w:t xml:space="preserve"> </w:t>
            </w:r>
            <w:r w:rsidRPr="00A12580">
              <w:t xml:space="preserve">Employee with $2000 </w:t>
            </w:r>
            <w:r w:rsidR="00A61121">
              <w:t>s</w:t>
            </w:r>
            <w:r w:rsidR="0014285F" w:rsidRPr="00A12580">
              <w:t>emi-</w:t>
            </w:r>
            <w:r w:rsidR="00A61121">
              <w:t>m</w:t>
            </w:r>
            <w:r w:rsidR="0014285F" w:rsidRPr="00A12580">
              <w:t>onthly</w:t>
            </w:r>
            <w:r w:rsidR="00A61121">
              <w:t xml:space="preserve"> salary</w:t>
            </w:r>
            <w:r w:rsidR="0014285F" w:rsidRPr="00A12580">
              <w:t xml:space="preserve"> </w:t>
            </w:r>
            <w:r w:rsidR="00072B36" w:rsidRPr="00A12580">
              <w:t xml:space="preserve">($23.07 per hour) </w:t>
            </w:r>
            <w:r w:rsidR="0014285F" w:rsidRPr="00A12580">
              <w:t xml:space="preserve">receives </w:t>
            </w:r>
            <w:r w:rsidR="00077AD2" w:rsidRPr="00A12580">
              <w:t>2</w:t>
            </w:r>
            <w:r w:rsidR="0014285F" w:rsidRPr="00A12580">
              <w:t xml:space="preserve"> hours of overtime during </w:t>
            </w:r>
            <w:r w:rsidR="00077AD2" w:rsidRPr="00A12580">
              <w:t xml:space="preserve">one work </w:t>
            </w:r>
            <w:r w:rsidR="00577190" w:rsidRPr="00A12580">
              <w:t>week</w:t>
            </w:r>
            <w:r w:rsidR="00077AD2" w:rsidRPr="00A12580">
              <w:t xml:space="preserve"> and 3 hours of overtime during the second work </w:t>
            </w:r>
            <w:r w:rsidR="00577190" w:rsidRPr="00A12580">
              <w:t>week</w:t>
            </w:r>
            <w:r w:rsidR="00077AD2" w:rsidRPr="00A12580">
              <w:t xml:space="preserve">.  The employee receives $100 of Temp Pay each pay period.  If Method #1 is used – CIPPS will calculate the </w:t>
            </w:r>
            <w:r w:rsidR="00E458D9">
              <w:t>o</w:t>
            </w:r>
            <w:r w:rsidR="00077AD2" w:rsidRPr="00A12580">
              <w:t>vertime as shown below:</w:t>
            </w:r>
          </w:p>
          <w:p w:rsidR="00077AD2" w:rsidRPr="003C4434" w:rsidRDefault="00077AD2" w:rsidP="00077AD2">
            <w:pPr>
              <w:pStyle w:val="Default"/>
              <w:rPr>
                <w:rFonts w:ascii="Calibri" w:hAnsi="Calibri"/>
                <w:sz w:val="16"/>
                <w:szCs w:val="16"/>
              </w:rPr>
            </w:pPr>
          </w:p>
          <w:p w:rsidR="00072B36" w:rsidRDefault="00F72480" w:rsidP="0045224D">
            <w:pPr>
              <w:pStyle w:val="Default"/>
              <w:jc w:val="center"/>
              <w:rPr>
                <w:rFonts w:ascii="Calibri" w:hAnsi="Calibri"/>
                <w:sz w:val="20"/>
                <w:szCs w:val="20"/>
              </w:rPr>
            </w:pPr>
            <w:r>
              <w:rPr>
                <w:rFonts w:ascii="Calibri" w:hAnsi="Calibri"/>
                <w:noProof/>
                <w:sz w:val="20"/>
                <w:szCs w:val="20"/>
              </w:rPr>
              <w:drawing>
                <wp:inline distT="0" distB="0" distL="0" distR="0">
                  <wp:extent cx="4972050" cy="3272742"/>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972050" cy="3272742"/>
                          </a:xfrm>
                          <a:prstGeom prst="rect">
                            <a:avLst/>
                          </a:prstGeom>
                          <a:noFill/>
                          <a:ln w="9525">
                            <a:noFill/>
                            <a:miter lim="800000"/>
                            <a:headEnd/>
                            <a:tailEnd/>
                          </a:ln>
                        </pic:spPr>
                      </pic:pic>
                    </a:graphicData>
                  </a:graphic>
                </wp:inline>
              </w:drawing>
            </w:r>
          </w:p>
          <w:p w:rsidR="00072B36" w:rsidRPr="003C4434" w:rsidRDefault="00072B36" w:rsidP="00077AD2">
            <w:pPr>
              <w:pStyle w:val="Default"/>
              <w:rPr>
                <w:rFonts w:ascii="Calibri" w:hAnsi="Calibri"/>
                <w:sz w:val="16"/>
                <w:szCs w:val="16"/>
              </w:rPr>
            </w:pPr>
          </w:p>
          <w:p w:rsidR="00AA3FCF" w:rsidRDefault="0045224D" w:rsidP="00AA3FCF">
            <w:pPr>
              <w:pStyle w:val="Default"/>
              <w:rPr>
                <w:b/>
              </w:rPr>
            </w:pPr>
            <w:r w:rsidRPr="00A12580">
              <w:rPr>
                <w:b/>
              </w:rPr>
              <w:t>NOTE</w:t>
            </w:r>
            <w:r w:rsidR="00DC649F" w:rsidRPr="00A12580">
              <w:rPr>
                <w:b/>
              </w:rPr>
              <w:t>S</w:t>
            </w:r>
            <w:r w:rsidRPr="00A12580">
              <w:rPr>
                <w:b/>
              </w:rPr>
              <w:t>:</w:t>
            </w:r>
          </w:p>
          <w:p w:rsidR="00AA3FCF" w:rsidRPr="00AA3FCF" w:rsidRDefault="00AA3FCF" w:rsidP="00AA3FCF">
            <w:pPr>
              <w:pStyle w:val="Default"/>
              <w:rPr>
                <w:b/>
                <w:sz w:val="16"/>
                <w:szCs w:val="16"/>
              </w:rPr>
            </w:pPr>
          </w:p>
          <w:p w:rsidR="00FF0E3F" w:rsidRPr="00AA3FCF" w:rsidRDefault="00AA3FCF" w:rsidP="00AA3FCF">
            <w:pPr>
              <w:pStyle w:val="Default"/>
              <w:numPr>
                <w:ilvl w:val="0"/>
                <w:numId w:val="12"/>
              </w:numPr>
              <w:rPr>
                <w:b/>
              </w:rPr>
            </w:pPr>
            <w:r>
              <w:t xml:space="preserve">It </w:t>
            </w:r>
            <w:r w:rsidRPr="00AA3FCF">
              <w:t>would be incorrect to compute “time and one half” of the hourly equivalent of Semi-Monthly Salary and Temp Pay as the employee receives a flat dollar amount regardless of the number of hours worked in the period.  The “time” is calculated at the normal straight time rate.  Only the “one half” is calculated using the Premium Overtime Rate.  Using amounts from example above, Wrong way:  Average Rate of $24.16658 * 1.5 = $36.25; Correct way:  $23.07 + $12.08329 = $35.15329, $35.15329 *5 = 175.77.</w:t>
            </w:r>
          </w:p>
          <w:p w:rsidR="0045224D" w:rsidRPr="0045224D" w:rsidRDefault="0045224D" w:rsidP="00CB739F">
            <w:pPr>
              <w:pStyle w:val="Default"/>
              <w:numPr>
                <w:ilvl w:val="0"/>
                <w:numId w:val="6"/>
              </w:numPr>
              <w:rPr>
                <w:rFonts w:ascii="Calibri" w:hAnsi="Calibri"/>
                <w:b/>
              </w:rPr>
            </w:pPr>
            <w:r w:rsidRPr="00A12580">
              <w:t xml:space="preserve">The automated CIPPS </w:t>
            </w:r>
            <w:r w:rsidR="00582ED5">
              <w:t>a</w:t>
            </w:r>
            <w:r w:rsidRPr="00A12580">
              <w:t xml:space="preserve">verage </w:t>
            </w:r>
            <w:r w:rsidR="00582ED5">
              <w:t>o</w:t>
            </w:r>
            <w:r w:rsidRPr="00A12580">
              <w:t xml:space="preserve">vertime </w:t>
            </w:r>
            <w:r w:rsidR="00582ED5">
              <w:t>r</w:t>
            </w:r>
            <w:r w:rsidRPr="00A12580">
              <w:t xml:space="preserve">ate uses the </w:t>
            </w:r>
            <w:r w:rsidR="00582ED5">
              <w:t>p</w:t>
            </w:r>
            <w:r w:rsidRPr="00A12580">
              <w:t xml:space="preserve">ay </w:t>
            </w:r>
            <w:r w:rsidR="00582ED5">
              <w:t>pe</w:t>
            </w:r>
            <w:r w:rsidRPr="00A12580">
              <w:t xml:space="preserve">riod </w:t>
            </w:r>
            <w:r w:rsidR="00582ED5">
              <w:t>h</w:t>
            </w:r>
            <w:r w:rsidRPr="00A12580">
              <w:t>ours to calculate the Average Overtime Rate.  FLSA regulations require that the remuneration for each work cycle (</w:t>
            </w:r>
            <w:r w:rsidR="00DC649F" w:rsidRPr="00A12580">
              <w:t xml:space="preserve">for example a work week) is divided by the hours worked in that cycle to determine the </w:t>
            </w:r>
            <w:r w:rsidR="00613C4E" w:rsidRPr="00A12580">
              <w:t>Regular</w:t>
            </w:r>
            <w:r w:rsidR="00DC649F" w:rsidRPr="00A12580">
              <w:t xml:space="preserve"> Rate.  Provided all of the conditions shown at the beginning of this section are true, testing has proven that this method will produce a rate this is slightly higher than the required FLSA rate.  </w:t>
            </w:r>
            <w:r w:rsidR="00A1697E" w:rsidRPr="00A12580">
              <w:t>System limitations prevent grouping hours together for a particular work cycle</w:t>
            </w:r>
            <w:r w:rsidR="00CB739F">
              <w:t>; t</w:t>
            </w:r>
            <w:r w:rsidR="00A1697E" w:rsidRPr="00A12580">
              <w:t xml:space="preserve">herefore, </w:t>
            </w:r>
            <w:r w:rsidR="00CB739F">
              <w:t xml:space="preserve">it is </w:t>
            </w:r>
            <w:r w:rsidR="00A1697E" w:rsidRPr="00A12580">
              <w:t>recommend</w:t>
            </w:r>
            <w:r w:rsidR="00CB739F">
              <w:t>ed</w:t>
            </w:r>
            <w:r w:rsidR="00A1697E" w:rsidRPr="00A12580">
              <w:t xml:space="preserve"> that </w:t>
            </w:r>
            <w:r w:rsidR="00C23E31" w:rsidRPr="00A12580">
              <w:t>M</w:t>
            </w:r>
            <w:r w:rsidR="00A1697E" w:rsidRPr="00A12580">
              <w:t xml:space="preserve">ethod </w:t>
            </w:r>
            <w:r w:rsidR="00C23E31" w:rsidRPr="00A12580">
              <w:t xml:space="preserve">#1 </w:t>
            </w:r>
            <w:r w:rsidR="00A1697E" w:rsidRPr="00A12580">
              <w:t>be used when appropriate.  The slightly higher rate will ensure FLSA compliance and avoid the complications that can be present with manual calculations.</w:t>
            </w:r>
            <w:r w:rsidR="00577190" w:rsidRPr="00A12580">
              <w:t xml:space="preserve">  Consider the </w:t>
            </w:r>
            <w:r w:rsidR="0037502F">
              <w:t xml:space="preserve">following </w:t>
            </w:r>
            <w:r w:rsidR="00577190" w:rsidRPr="00A12580">
              <w:t>CIPPS Calculation to Work Cycle Calculation comparison below.</w:t>
            </w:r>
          </w:p>
        </w:tc>
      </w:tr>
    </w:tbl>
    <w:p w:rsidR="00AE7629" w:rsidRDefault="003C4434" w:rsidP="006322B5">
      <w:pPr>
        <w:pStyle w:val="BlockLine"/>
        <w:spacing w:before="0"/>
        <w:ind w:left="1354"/>
        <w:jc w:val="right"/>
      </w:pPr>
      <w:r>
        <w:rPr>
          <w:i/>
          <w:sz w:val="20"/>
        </w:rPr>
        <w:t>Continued on next page</w:t>
      </w:r>
      <w:r w:rsidR="00AE7629">
        <w:br w:type="page"/>
      </w:r>
    </w:p>
    <w:p w:rsidR="00577190" w:rsidRDefault="00577190" w:rsidP="00577190">
      <w:pPr>
        <w:pStyle w:val="Heading4"/>
        <w:spacing w:after="0"/>
        <w:rPr>
          <w:rFonts w:ascii="Times New Roman" w:hAnsi="Times New Roman"/>
          <w:b/>
          <w:sz w:val="28"/>
          <w:szCs w:val="28"/>
        </w:rPr>
      </w:pPr>
      <w:r>
        <w:rPr>
          <w:rFonts w:ascii="Times New Roman" w:hAnsi="Times New Roman"/>
          <w:b/>
          <w:bCs/>
          <w:sz w:val="28"/>
          <w:szCs w:val="28"/>
        </w:rPr>
        <w:lastRenderedPageBreak/>
        <w:t>CIPPS Overtime Calculation Methods</w:t>
      </w:r>
      <w:r>
        <w:rPr>
          <w:rFonts w:ascii="Times New Roman" w:hAnsi="Times New Roman"/>
          <w:b/>
          <w:sz w:val="28"/>
          <w:szCs w:val="28"/>
        </w:rPr>
        <w:t xml:space="preserve">, </w:t>
      </w:r>
      <w:r w:rsidRPr="00B65B4E">
        <w:rPr>
          <w:rFonts w:ascii="Times New Roman" w:hAnsi="Times New Roman"/>
          <w:sz w:val="28"/>
          <w:szCs w:val="28"/>
        </w:rPr>
        <w:t>continued</w:t>
      </w:r>
    </w:p>
    <w:p w:rsidR="00577190" w:rsidRDefault="00577190" w:rsidP="00577190">
      <w:pPr>
        <w:pStyle w:val="BlockLine"/>
        <w:ind w:left="1620"/>
        <w:rPr>
          <w:sz w:val="16"/>
          <w:szCs w:val="16"/>
        </w:rPr>
      </w:pPr>
    </w:p>
    <w:tbl>
      <w:tblPr>
        <w:tblW w:w="10188" w:type="dxa"/>
        <w:tblLayout w:type="fixed"/>
        <w:tblLook w:val="0000"/>
      </w:tblPr>
      <w:tblGrid>
        <w:gridCol w:w="1751"/>
        <w:gridCol w:w="8437"/>
      </w:tblGrid>
      <w:tr w:rsidR="00577190" w:rsidTr="005951FF">
        <w:trPr>
          <w:cantSplit/>
          <w:trHeight w:val="485"/>
        </w:trPr>
        <w:tc>
          <w:tcPr>
            <w:tcW w:w="1751" w:type="dxa"/>
          </w:tcPr>
          <w:p w:rsidR="00577190" w:rsidRDefault="00577190" w:rsidP="00787C29">
            <w:pPr>
              <w:pStyle w:val="Heading5"/>
            </w:pPr>
            <w:r>
              <w:rPr>
                <w:rFonts w:ascii="Times New Roman Bold" w:hAnsi="Times New Roman Bold"/>
                <w:bCs/>
                <w:sz w:val="24"/>
                <w:szCs w:val="24"/>
              </w:rPr>
              <w:t xml:space="preserve">Method #1 – Automatic Average Overtime </w:t>
            </w:r>
            <w:r w:rsidR="00787C29">
              <w:rPr>
                <w:rFonts w:ascii="Times New Roman Bold" w:hAnsi="Times New Roman Bold"/>
                <w:bCs/>
                <w:sz w:val="24"/>
                <w:szCs w:val="24"/>
              </w:rPr>
              <w:t xml:space="preserve">Calculations </w:t>
            </w:r>
            <w:r>
              <w:rPr>
                <w:rFonts w:ascii="Times New Roman Bold" w:hAnsi="Times New Roman Bold"/>
                <w:bCs/>
                <w:sz w:val="24"/>
                <w:szCs w:val="24"/>
              </w:rPr>
              <w:t xml:space="preserve">for Special Payments, </w:t>
            </w:r>
            <w:r>
              <w:rPr>
                <w:rFonts w:ascii="Times New Roman Bold" w:hAnsi="Times New Roman Bold"/>
                <w:b w:val="0"/>
                <w:bCs/>
                <w:sz w:val="24"/>
                <w:szCs w:val="24"/>
              </w:rPr>
              <w:t>continued</w:t>
            </w:r>
          </w:p>
        </w:tc>
        <w:tc>
          <w:tcPr>
            <w:tcW w:w="8437" w:type="dxa"/>
          </w:tcPr>
          <w:p w:rsidR="00577190" w:rsidRPr="000A0E93" w:rsidRDefault="00577190" w:rsidP="00F72480">
            <w:pPr>
              <w:pStyle w:val="Default"/>
              <w:rPr>
                <w:b/>
              </w:rPr>
            </w:pPr>
            <w:r w:rsidRPr="000A0E93">
              <w:rPr>
                <w:b/>
              </w:rPr>
              <w:t>Comparison - CIPPS Calculation to Work Cycle Calculation</w:t>
            </w:r>
            <w:r w:rsidR="00F04AA0" w:rsidRPr="000A0E93">
              <w:rPr>
                <w:b/>
              </w:rPr>
              <w:t xml:space="preserve"> for Method #1</w:t>
            </w:r>
          </w:p>
          <w:p w:rsidR="00577190" w:rsidRPr="00027B45" w:rsidRDefault="00577190" w:rsidP="00F72480">
            <w:pPr>
              <w:pStyle w:val="Default"/>
            </w:pPr>
          </w:p>
          <w:p w:rsidR="00F72480" w:rsidRPr="00C045CF" w:rsidRDefault="00F72480" w:rsidP="00F72480">
            <w:pPr>
              <w:pStyle w:val="Default"/>
              <w:rPr>
                <w:b/>
              </w:rPr>
            </w:pPr>
            <w:r w:rsidRPr="00C045CF">
              <w:rPr>
                <w:b/>
              </w:rPr>
              <w:t>Work Week 1:</w:t>
            </w:r>
          </w:p>
          <w:p w:rsidR="00577190" w:rsidRPr="0045224D" w:rsidRDefault="001C7D6A" w:rsidP="00577190">
            <w:pPr>
              <w:pStyle w:val="Default"/>
              <w:rPr>
                <w:rFonts w:ascii="Calibri" w:hAnsi="Calibri"/>
                <w:b/>
              </w:rPr>
            </w:pPr>
            <w:r>
              <w:rPr>
                <w:b/>
                <w:noProof/>
              </w:rPr>
            </w:r>
            <w:r>
              <w:rPr>
                <w:rFonts w:ascii="Calibri" w:hAnsi="Calibri"/>
                <w:b/>
              </w:rPr>
              <w:pict>
                <v:group id="_x0000_s1028" editas="canvas" style="width:424.25pt;height:220.35pt;mso-position-horizontal-relative:char;mso-position-vertical-relative:line" coordsize="8485,44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85;height:4407" o:preferrelative="f">
                    <v:fill o:detectmouseclick="t"/>
                    <v:path o:extrusionok="t" o:connecttype="none"/>
                    <o:lock v:ext="edit" text="t"/>
                  </v:shape>
                  <v:rect id="_x0000_s1029" style="position:absolute;width:8355;height:4350" stroked="f">
                    <v:textbox>
                      <w:txbxContent>
                        <w:p w:rsidR="001C7D6A" w:rsidRDefault="001C7D6A"/>
                      </w:txbxContent>
                    </v:textbox>
                  </v:rect>
                  <v:rect id="_x0000_s1030" style="position:absolute;left:43;top:58;width:3277;height:220;mso-wrap-style:none;v-text-anchor:top" filled="f" stroked="f">
                    <v:textbox style="mso-fit-shape-to-text:t" inset="0,0,0,0">
                      <w:txbxContent>
                        <w:p w:rsidR="001C7D6A" w:rsidRDefault="001C7D6A">
                          <w:r>
                            <w:rPr>
                              <w:rFonts w:ascii="Calibri" w:hAnsi="Calibri" w:cs="Calibri"/>
                              <w:color w:val="000000"/>
                              <w:sz w:val="18"/>
                              <w:szCs w:val="18"/>
                            </w:rPr>
                            <w:t>Straight Time Hours for 42 Hours (42* 23.07)</w:t>
                          </w:r>
                        </w:p>
                      </w:txbxContent>
                    </v:textbox>
                  </v:rect>
                  <v:rect id="_x0000_s1031" style="position:absolute;left:7649;top:29;width:791;height:293;mso-wrap-style:none;v-text-anchor:top" filled="f" stroked="f">
                    <v:textbox style="mso-fit-shape-to-text:t" inset="0,0,0,0">
                      <w:txbxContent>
                        <w:p w:rsidR="001C7D6A" w:rsidRDefault="001C7D6A">
                          <w:r>
                            <w:rPr>
                              <w:rFonts w:ascii="Calibri" w:hAnsi="Calibri" w:cs="Calibri"/>
                              <w:color w:val="000000"/>
                            </w:rPr>
                            <w:t>$968.94</w:t>
                          </w:r>
                        </w:p>
                      </w:txbxContent>
                    </v:textbox>
                  </v:rect>
                  <v:rect id="_x0000_s1032" style="position:absolute;left:43;top:648;width:4576;height:220;mso-wrap-style:none;v-text-anchor:top" filled="f" stroked="f">
                    <v:textbox style="mso-fit-shape-to-text:t" inset="0,0,0,0">
                      <w:txbxContent>
                        <w:p w:rsidR="001C7D6A" w:rsidRDefault="001C7D6A">
                          <w:r>
                            <w:rPr>
                              <w:rFonts w:ascii="Calibri" w:hAnsi="Calibri" w:cs="Calibri"/>
                              <w:color w:val="000000"/>
                              <w:sz w:val="18"/>
                              <w:szCs w:val="18"/>
                            </w:rPr>
                            <w:t>Plus Weekly Equivalent of Temp Pay ($100 * 24/Divided by 52)</w:t>
                          </w:r>
                        </w:p>
                      </w:txbxContent>
                    </v:textbox>
                  </v:rect>
                  <v:rect id="_x0000_s1033" style="position:absolute;left:7750;top:619;width:669;height:293;mso-wrap-style:none;v-text-anchor:top" filled="f" stroked="f">
                    <v:textbox style="mso-fit-shape-to-text:t" inset="0,0,0,0">
                      <w:txbxContent>
                        <w:p w:rsidR="001C7D6A" w:rsidRDefault="001C7D6A">
                          <w:r>
                            <w:rPr>
                              <w:rFonts w:ascii="Calibri" w:hAnsi="Calibri" w:cs="Calibri"/>
                              <w:color w:val="000000"/>
                            </w:rPr>
                            <w:t>$46.15</w:t>
                          </w:r>
                        </w:p>
                      </w:txbxContent>
                    </v:textbox>
                  </v:rect>
                  <v:rect id="_x0000_s1034" style="position:absolute;left:43;top:1224;width:4279;height:220;mso-wrap-style:none;v-text-anchor:top" filled="f" stroked="f">
                    <v:textbox style="mso-fit-shape-to-text:t" inset="0,0,0,0">
                      <w:txbxContent>
                        <w:p w:rsidR="001C7D6A" w:rsidRDefault="001C7D6A">
                          <w:r>
                            <w:rPr>
                              <w:rFonts w:ascii="Calibri" w:hAnsi="Calibri" w:cs="Calibri"/>
                              <w:color w:val="000000"/>
                              <w:sz w:val="18"/>
                              <w:szCs w:val="18"/>
                            </w:rPr>
                            <w:t>Equals Total straight time remuneration for the pay period</w:t>
                          </w:r>
                        </w:p>
                      </w:txbxContent>
                    </v:textbox>
                  </v:rect>
                  <v:rect id="_x0000_s1035" style="position:absolute;left:7491;top:1195;width:972;height:293;mso-wrap-style:none;v-text-anchor:top" filled="f" stroked="f">
                    <v:textbox style="mso-fit-shape-to-text:t" inset="0,0,0,0">
                      <w:txbxContent>
                        <w:p w:rsidR="001C7D6A" w:rsidRDefault="001C7D6A">
                          <w:r>
                            <w:rPr>
                              <w:rFonts w:ascii="Calibri" w:hAnsi="Calibri" w:cs="Calibri"/>
                              <w:color w:val="000000"/>
                            </w:rPr>
                            <w:t>$1,015.09</w:t>
                          </w:r>
                        </w:p>
                      </w:txbxContent>
                    </v:textbox>
                  </v:rect>
                  <v:rect id="_x0000_s1036" style="position:absolute;left:43;top:1800;width:4851;height:220;mso-wrap-style:none;v-text-anchor:top" filled="f" stroked="f">
                    <v:textbox style="mso-fit-shape-to-text:t" inset="0,0,0,0">
                      <w:txbxContent>
                        <w:p w:rsidR="001C7D6A" w:rsidRDefault="001C7D6A">
                          <w:r>
                            <w:rPr>
                              <w:rFonts w:ascii="Calibri" w:hAnsi="Calibri" w:cs="Calibri"/>
                              <w:color w:val="000000"/>
                              <w:sz w:val="18"/>
                              <w:szCs w:val="18"/>
                            </w:rPr>
                            <w:t xml:space="preserve">Divided by total hours for the work week (42) </w:t>
                          </w:r>
                          <w:proofErr w:type="gramStart"/>
                          <w:r>
                            <w:rPr>
                              <w:rFonts w:ascii="Calibri" w:hAnsi="Calibri" w:cs="Calibri"/>
                              <w:color w:val="000000"/>
                              <w:sz w:val="18"/>
                              <w:szCs w:val="18"/>
                            </w:rPr>
                            <w:t>Equals</w:t>
                          </w:r>
                          <w:proofErr w:type="gramEnd"/>
                          <w:r>
                            <w:rPr>
                              <w:rFonts w:ascii="Calibri" w:hAnsi="Calibri" w:cs="Calibri"/>
                              <w:color w:val="000000"/>
                              <w:sz w:val="18"/>
                              <w:szCs w:val="18"/>
                            </w:rPr>
                            <w:t xml:space="preserve"> Average Rate</w:t>
                          </w:r>
                        </w:p>
                      </w:txbxContent>
                    </v:textbox>
                  </v:rect>
                  <v:rect id="_x0000_s1037" style="position:absolute;left:7447;top:1772;width:1034;height:293;mso-wrap-style:none;v-text-anchor:top" filled="f" stroked="f">
                    <v:textbox style="mso-fit-shape-to-text:t" inset="0,0,0,0">
                      <w:txbxContent>
                        <w:p w:rsidR="001C7D6A" w:rsidRDefault="001C7D6A">
                          <w:r>
                            <w:rPr>
                              <w:rFonts w:ascii="Calibri" w:hAnsi="Calibri" w:cs="Calibri"/>
                              <w:color w:val="000000"/>
                            </w:rPr>
                            <w:t>$24.16881</w:t>
                          </w:r>
                        </w:p>
                      </w:txbxContent>
                    </v:textbox>
                  </v:rect>
                  <v:rect id="_x0000_s1038" style="position:absolute;left:43;top:2377;width:3475;height:220;mso-wrap-style:none;v-text-anchor:top" filled="f" stroked="f">
                    <v:textbox style="mso-fit-shape-to-text:t" inset="0,0,0,0">
                      <w:txbxContent>
                        <w:p w:rsidR="001C7D6A" w:rsidRDefault="001C7D6A">
                          <w:r>
                            <w:rPr>
                              <w:rFonts w:ascii="Calibri" w:hAnsi="Calibri" w:cs="Calibri"/>
                              <w:color w:val="000000"/>
                              <w:sz w:val="18"/>
                              <w:szCs w:val="18"/>
                            </w:rPr>
                            <w:t>Multiplied by .5 Equals Premium Overtime Rate</w:t>
                          </w:r>
                        </w:p>
                      </w:txbxContent>
                    </v:textbox>
                  </v:rect>
                  <v:rect id="_x0000_s1039" style="position:absolute;left:7447;top:2348;width:1034;height:293;mso-wrap-style:none;v-text-anchor:top" filled="f" stroked="f">
                    <v:textbox style="mso-fit-shape-to-text:t" inset="0,0,0,0">
                      <w:txbxContent>
                        <w:p w:rsidR="001C7D6A" w:rsidRDefault="001C7D6A">
                          <w:r>
                            <w:rPr>
                              <w:rFonts w:ascii="Calibri" w:hAnsi="Calibri" w:cs="Calibri"/>
                              <w:color w:val="000000"/>
                            </w:rPr>
                            <w:t>$12.08440</w:t>
                          </w:r>
                        </w:p>
                      </w:txbxContent>
                    </v:textbox>
                  </v:rect>
                  <v:rect id="_x0000_s1040" style="position:absolute;left:43;top:2953;width:2832;height:220;mso-wrap-style:none;v-text-anchor:top" filled="f" stroked="f">
                    <v:textbox style="mso-fit-shape-to-text:t" inset="0,0,0,0">
                      <w:txbxContent>
                        <w:p w:rsidR="001C7D6A" w:rsidRDefault="001C7D6A">
                          <w:r>
                            <w:rPr>
                              <w:rFonts w:ascii="Calibri" w:hAnsi="Calibri" w:cs="Calibri"/>
                              <w:color w:val="000000"/>
                              <w:sz w:val="18"/>
                              <w:szCs w:val="18"/>
                            </w:rPr>
                            <w:t>Multiplied by 2 Hours of Overtime Due</w:t>
                          </w:r>
                        </w:p>
                      </w:txbxContent>
                    </v:textbox>
                  </v:rect>
                  <v:rect id="_x0000_s1041" style="position:absolute;left:7750;top:2924;width:669;height:293;mso-wrap-style:none;v-text-anchor:top" filled="f" stroked="f">
                    <v:textbox style="mso-fit-shape-to-text:t" inset="0,0,0,0">
                      <w:txbxContent>
                        <w:p w:rsidR="001C7D6A" w:rsidRDefault="001C7D6A">
                          <w:r>
                            <w:rPr>
                              <w:rFonts w:ascii="Calibri" w:hAnsi="Calibri" w:cs="Calibri"/>
                              <w:color w:val="000000"/>
                            </w:rPr>
                            <w:t>$24.17</w:t>
                          </w:r>
                        </w:p>
                      </w:txbxContent>
                    </v:textbox>
                  </v:rect>
                  <v:rect id="_x0000_s1042" style="position:absolute;left:43;top:3529;width:4204;height:220;mso-wrap-style:none;v-text-anchor:top" filled="f" stroked="f">
                    <v:textbox style="mso-fit-shape-to-text:t" inset="0,0,0,0">
                      <w:txbxContent>
                        <w:p w:rsidR="001C7D6A" w:rsidRDefault="001C7D6A">
                          <w:r>
                            <w:rPr>
                              <w:rFonts w:ascii="Calibri" w:hAnsi="Calibri" w:cs="Calibri"/>
                              <w:color w:val="000000"/>
                              <w:sz w:val="18"/>
                              <w:szCs w:val="18"/>
                            </w:rPr>
                            <w:t>Plus Straight Time for the 2 Hours of Overtime (2 * 23.07)</w:t>
                          </w:r>
                        </w:p>
                      </w:txbxContent>
                    </v:textbox>
                  </v:rect>
                  <v:rect id="_x0000_s1043" style="position:absolute;left:7750;top:3500;width:669;height:293;mso-wrap-style:none;v-text-anchor:top" filled="f" stroked="f">
                    <v:textbox style="mso-fit-shape-to-text:t" inset="0,0,0,0">
                      <w:txbxContent>
                        <w:p w:rsidR="001C7D6A" w:rsidRDefault="001C7D6A">
                          <w:r>
                            <w:rPr>
                              <w:rFonts w:ascii="Calibri" w:hAnsi="Calibri" w:cs="Calibri"/>
                              <w:color w:val="000000"/>
                            </w:rPr>
                            <w:t>$46.14</w:t>
                          </w:r>
                        </w:p>
                      </w:txbxContent>
                    </v:textbox>
                  </v:rect>
                  <v:rect id="_x0000_s1044" style="position:absolute;left:43;top:4105;width:2782;height:220;mso-wrap-style:none;v-text-anchor:top" filled="f" stroked="f">
                    <v:textbox style="mso-fit-shape-to-text:t" inset="0,0,0,0">
                      <w:txbxContent>
                        <w:p w:rsidR="001C7D6A" w:rsidRDefault="001C7D6A">
                          <w:r>
                            <w:rPr>
                              <w:rFonts w:ascii="Calibri" w:hAnsi="Calibri" w:cs="Calibri"/>
                              <w:b/>
                              <w:bCs/>
                              <w:color w:val="000000"/>
                              <w:sz w:val="18"/>
                              <w:szCs w:val="18"/>
                            </w:rPr>
                            <w:t>Total Overtime Due for Work Week 1</w:t>
                          </w:r>
                        </w:p>
                      </w:txbxContent>
                    </v:textbox>
                  </v:rect>
                  <v:rect id="_x0000_s1045" style="position:absolute;left:7750;top:4076;width:673;height:293;mso-wrap-style:none;v-text-anchor:top" filled="f" stroked="f">
                    <v:textbox style="mso-fit-shape-to-text:t" inset="0,0,0,0">
                      <w:txbxContent>
                        <w:p w:rsidR="001C7D6A" w:rsidRDefault="001C7D6A">
                          <w:r>
                            <w:rPr>
                              <w:rFonts w:ascii="Calibri" w:hAnsi="Calibri" w:cs="Calibri"/>
                              <w:b/>
                              <w:bCs/>
                              <w:color w:val="000000"/>
                            </w:rPr>
                            <w:t>$70.31</w:t>
                          </w:r>
                        </w:p>
                      </w:txbxContent>
                    </v:textbox>
                  </v:rect>
                  <v:rect id="_x0000_s1046" style="position:absolute;width:14;height:1" fillcolor="#d0d7e5" stroked="f"/>
                  <v:rect id="_x0000_s1047" style="position:absolute;left:922;width:14;height:1" fillcolor="#d0d7e5" stroked="f"/>
                  <v:rect id="_x0000_s1048" style="position:absolute;left:1844;width:14;height:1" fillcolor="#d0d7e5" stroked="f"/>
                  <v:rect id="_x0000_s1049" style="position:absolute;left:2766;width:14;height:1" fillcolor="#d0d7e5" stroked="f"/>
                  <v:rect id="_x0000_s1050" style="position:absolute;left:3688;width:14;height:1" fillcolor="#d0d7e5" stroked="f"/>
                  <v:rect id="_x0000_s1051" style="position:absolute;left:4610;width:14;height:1" fillcolor="#d0d7e5" stroked="f"/>
                  <v:rect id="_x0000_s1052" style="position:absolute;left:5532;width:14;height:1" fillcolor="#d0d7e5" stroked="f"/>
                  <v:rect id="_x0000_s1053" style="position:absolute;left:6454;width:14;height:1" fillcolor="#d0d7e5" stroked="f"/>
                  <v:rect id="_x0000_s1054" style="position:absolute;left:7375;width:15;height:1" fillcolor="#d0d7e5" stroked="f"/>
                  <v:rect id="_x0000_s1055" style="position:absolute;left:8341;width:14;height:1" fillcolor="#d0d7e5" stroked="f"/>
                  <v:line id="_x0000_s1056" style="position:absolute" from="0,4350" to="1,4351" strokecolor="#d0d7e5" strokeweight="0"/>
                  <v:rect id="_x0000_s1057" style="position:absolute;top:4350;width:14;height:14" fillcolor="#d0d7e5" stroked="f"/>
                  <v:line id="_x0000_s1058" style="position:absolute" from="922,4350" to="923,4351" strokecolor="#d0d7e5" strokeweight="0"/>
                  <v:rect id="_x0000_s1059" style="position:absolute;left:922;top:4350;width:14;height:14" fillcolor="#d0d7e5" stroked="f"/>
                  <v:line id="_x0000_s1060" style="position:absolute" from="1844,4350" to="1845,4351" strokecolor="#d0d7e5" strokeweight="0"/>
                  <v:rect id="_x0000_s1061" style="position:absolute;left:1844;top:4350;width:14;height:14" fillcolor="#d0d7e5" stroked="f"/>
                  <v:line id="_x0000_s1062" style="position:absolute" from="2766,4350" to="2767,4351" strokecolor="#d0d7e5" strokeweight="0"/>
                  <v:rect id="_x0000_s1063" style="position:absolute;left:2766;top:4350;width:14;height:14" fillcolor="#d0d7e5" stroked="f"/>
                  <v:line id="_x0000_s1064" style="position:absolute" from="3688,4350" to="3689,4351" strokecolor="#d0d7e5" strokeweight="0"/>
                  <v:rect id="_x0000_s1065" style="position:absolute;left:3688;top:4350;width:14;height:14" fillcolor="#d0d7e5" stroked="f"/>
                  <v:line id="_x0000_s1066" style="position:absolute" from="4610,4350" to="4611,4351" strokecolor="#d0d7e5" strokeweight="0"/>
                  <v:rect id="_x0000_s1067" style="position:absolute;left:4610;top:4350;width:14;height:14" fillcolor="#d0d7e5" stroked="f"/>
                  <v:line id="_x0000_s1068" style="position:absolute" from="5532,4350" to="5533,4351" strokecolor="#d0d7e5" strokeweight="0"/>
                  <v:rect id="_x0000_s1069" style="position:absolute;left:5532;top:4350;width:14;height:14" fillcolor="#d0d7e5" stroked="f"/>
                  <v:line id="_x0000_s1070" style="position:absolute" from="6454,4350" to="6455,4351" strokecolor="#d0d7e5" strokeweight="0"/>
                  <v:rect id="_x0000_s1071" style="position:absolute;left:6454;top:4350;width:14;height:14" fillcolor="#d0d7e5" stroked="f"/>
                  <v:line id="_x0000_s1072" style="position:absolute" from="7375,4350" to="7376,4351" strokecolor="#d0d7e5" strokeweight="0"/>
                  <v:rect id="_x0000_s1073" style="position:absolute;left:7375;top:4350;width:15;height:14" fillcolor="#d0d7e5" stroked="f"/>
                  <v:line id="_x0000_s1074" style="position:absolute" from="8341,4350" to="8342,4351" strokecolor="#d0d7e5" strokeweight="0"/>
                  <v:rect id="_x0000_s1075" style="position:absolute;left:8341;top:4350;width:14;height:14" fillcolor="#d0d7e5" stroked="f"/>
                  <v:line id="_x0000_s1076" style="position:absolute" from="8355,0" to="8356,1" strokecolor="#d0d7e5" strokeweight="0"/>
                  <v:rect id="_x0000_s1077" style="position:absolute;left:8355;width:14;height:14" fillcolor="#d0d7e5" stroked="f"/>
                  <v:line id="_x0000_s1078" style="position:absolute" from="8355,288" to="8356,289" strokecolor="#d0d7e5" strokeweight="0"/>
                  <v:rect id="_x0000_s1079" style="position:absolute;left:8355;top:288;width:14;height:14" fillcolor="#d0d7e5" stroked="f"/>
                  <v:line id="_x0000_s1080" style="position:absolute" from="8355,591" to="8356,592" strokecolor="#d0d7e5" strokeweight="0"/>
                  <v:rect id="_x0000_s1081" style="position:absolute;left:8355;top:591;width:14;height:14" fillcolor="#d0d7e5" stroked="f"/>
                  <v:line id="_x0000_s1082" style="position:absolute" from="8355,879" to="8356,880" strokecolor="#d0d7e5" strokeweight="0"/>
                  <v:rect id="_x0000_s1083" style="position:absolute;left:8355;top:879;width:14;height:14" fillcolor="#d0d7e5" stroked="f"/>
                  <v:line id="_x0000_s1084" style="position:absolute" from="8355,1167" to="8356,1168" strokecolor="#d0d7e5" strokeweight="0"/>
                  <v:rect id="_x0000_s1085" style="position:absolute;left:8355;top:1167;width:14;height:14" fillcolor="#d0d7e5" stroked="f"/>
                  <v:line id="_x0000_s1086" style="position:absolute" from="8355,1455" to="8356,1456" strokecolor="#d0d7e5" strokeweight="0"/>
                  <v:rect id="_x0000_s1087" style="position:absolute;left:8355;top:1455;width:14;height:14" fillcolor="#d0d7e5" stroked="f"/>
                  <v:line id="_x0000_s1088" style="position:absolute" from="8355,1743" to="8356,1744" strokecolor="#d0d7e5" strokeweight="0"/>
                  <v:rect id="_x0000_s1089" style="position:absolute;left:8355;top:1743;width:14;height:14" fillcolor="#d0d7e5" stroked="f"/>
                  <v:line id="_x0000_s1090" style="position:absolute" from="8355,2031" to="8356,2032" strokecolor="#d0d7e5" strokeweight="0"/>
                  <v:rect id="_x0000_s1091" style="position:absolute;left:8355;top:2031;width:14;height:14" fillcolor="#d0d7e5" stroked="f"/>
                  <v:line id="_x0000_s1092" style="position:absolute" from="8355,2319" to="8356,2320" strokecolor="#d0d7e5" strokeweight="0"/>
                  <v:rect id="_x0000_s1093" style="position:absolute;left:8355;top:2319;width:14;height:14" fillcolor="#d0d7e5" stroked="f"/>
                  <v:line id="_x0000_s1094" style="position:absolute" from="8355,2607" to="8356,2608" strokecolor="#d0d7e5" strokeweight="0"/>
                  <v:rect id="_x0000_s1095" style="position:absolute;left:8355;top:2607;width:14;height:14" fillcolor="#d0d7e5" stroked="f"/>
                  <v:line id="_x0000_s1096" style="position:absolute" from="8355,2895" to="8356,2896" strokecolor="#d0d7e5" strokeweight="0"/>
                  <v:rect id="_x0000_s1097" style="position:absolute;left:8355;top:2895;width:14;height:14" fillcolor="#d0d7e5" stroked="f"/>
                  <v:line id="_x0000_s1098" style="position:absolute" from="8355,3183" to="8356,3184" strokecolor="#d0d7e5" strokeweight="0"/>
                  <v:rect id="_x0000_s1099" style="position:absolute;left:8355;top:3183;width:14;height:15" fillcolor="#d0d7e5" stroked="f"/>
                  <v:line id="_x0000_s1100" style="position:absolute" from="8355,3471" to="8356,3472" strokecolor="#d0d7e5" strokeweight="0"/>
                  <v:rect id="_x0000_s1101" style="position:absolute;left:8355;top:3471;width:14;height:15" fillcolor="#d0d7e5" stroked="f"/>
                  <v:line id="_x0000_s1102" style="position:absolute" from="8355,3759" to="8356,3760" strokecolor="#d0d7e5" strokeweight="0"/>
                  <v:rect id="_x0000_s1103" style="position:absolute;left:8355;top:3759;width:14;height:15" fillcolor="#d0d7e5" stroked="f"/>
                  <v:line id="_x0000_s1104" style="position:absolute" from="8355,4047" to="8356,4048" strokecolor="#d0d7e5" strokeweight="0"/>
                  <v:rect id="_x0000_s1105" style="position:absolute;left:8355;top:4047;width:14;height:15" fillcolor="#d0d7e5" stroked="f"/>
                  <v:line id="_x0000_s1106" style="position:absolute" from="8355,4335" to="8356,4336" strokecolor="#d0d7e5" strokeweight="0"/>
                  <v:rect id="_x0000_s1107" style="position:absolute;left:8355;top:4335;width:14;height:15" fillcolor="#d0d7e5" stroked="f"/>
                  <w10:wrap type="none"/>
                  <w10:anchorlock/>
                </v:group>
              </w:pict>
            </w:r>
          </w:p>
        </w:tc>
      </w:tr>
      <w:tr w:rsidR="00577190" w:rsidTr="005951FF">
        <w:trPr>
          <w:cantSplit/>
          <w:trHeight w:val="485"/>
        </w:trPr>
        <w:tc>
          <w:tcPr>
            <w:tcW w:w="1751" w:type="dxa"/>
          </w:tcPr>
          <w:p w:rsidR="00577190" w:rsidRDefault="00577190" w:rsidP="00F72480">
            <w:pPr>
              <w:pStyle w:val="Heading5"/>
              <w:rPr>
                <w:rFonts w:ascii="Times New Roman Bold" w:hAnsi="Times New Roman Bold"/>
                <w:bCs/>
                <w:sz w:val="24"/>
                <w:szCs w:val="24"/>
              </w:rPr>
            </w:pPr>
          </w:p>
        </w:tc>
        <w:tc>
          <w:tcPr>
            <w:tcW w:w="8437" w:type="dxa"/>
          </w:tcPr>
          <w:p w:rsidR="00577190" w:rsidRDefault="00577190" w:rsidP="00F72480">
            <w:pPr>
              <w:pStyle w:val="Default"/>
              <w:rPr>
                <w:rFonts w:ascii="Calibri" w:hAnsi="Calibri"/>
                <w:b/>
              </w:rPr>
            </w:pPr>
          </w:p>
          <w:p w:rsidR="000A36C8" w:rsidRPr="00C045CF" w:rsidRDefault="006F1AAE" w:rsidP="00F72480">
            <w:pPr>
              <w:pStyle w:val="Default"/>
              <w:rPr>
                <w:b/>
              </w:rPr>
            </w:pPr>
            <w:r w:rsidRPr="00C045CF">
              <w:rPr>
                <w:b/>
              </w:rPr>
              <w:t>Work Week 2:</w:t>
            </w:r>
          </w:p>
          <w:p w:rsidR="006F1AAE" w:rsidRDefault="006F1AAE" w:rsidP="00F72480">
            <w:pPr>
              <w:pStyle w:val="Default"/>
              <w:rPr>
                <w:rFonts w:ascii="Calibri" w:hAnsi="Calibri"/>
                <w:b/>
              </w:rPr>
            </w:pPr>
            <w:r>
              <w:rPr>
                <w:rFonts w:ascii="Calibri" w:hAnsi="Calibri"/>
                <w:b/>
                <w:noProof/>
              </w:rPr>
              <w:drawing>
                <wp:inline distT="0" distB="0" distL="0" distR="0">
                  <wp:extent cx="5305425" cy="27622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305425" cy="2762250"/>
                          </a:xfrm>
                          <a:prstGeom prst="rect">
                            <a:avLst/>
                          </a:prstGeom>
                          <a:noFill/>
                          <a:ln w="9525">
                            <a:noFill/>
                            <a:miter lim="800000"/>
                            <a:headEnd/>
                            <a:tailEnd/>
                          </a:ln>
                        </pic:spPr>
                      </pic:pic>
                    </a:graphicData>
                  </a:graphic>
                </wp:inline>
              </w:drawing>
            </w:r>
          </w:p>
          <w:p w:rsidR="006F1AAE" w:rsidRDefault="006F1AAE" w:rsidP="00F72480">
            <w:pPr>
              <w:pStyle w:val="Default"/>
              <w:rPr>
                <w:rFonts w:ascii="Calibri" w:hAnsi="Calibri"/>
                <w:b/>
              </w:rPr>
            </w:pPr>
          </w:p>
          <w:p w:rsidR="006D0446" w:rsidRPr="008104B0" w:rsidRDefault="006D0446" w:rsidP="006D0446">
            <w:pPr>
              <w:pStyle w:val="Default"/>
              <w:rPr>
                <w:b/>
              </w:rPr>
            </w:pPr>
            <w:r w:rsidRPr="008104B0">
              <w:rPr>
                <w:b/>
              </w:rPr>
              <w:t>Total Overtime Due for Both Work Weeks  ($70.31 WK1 + $105.42 WK2) =    $175.73</w:t>
            </w:r>
          </w:p>
          <w:p w:rsidR="00357897" w:rsidRPr="008104B0" w:rsidRDefault="00357897" w:rsidP="00F76AC4">
            <w:pPr>
              <w:pStyle w:val="Default"/>
              <w:rPr>
                <w:b/>
              </w:rPr>
            </w:pPr>
          </w:p>
          <w:p w:rsidR="00F76AC4" w:rsidRPr="0045224D" w:rsidRDefault="00357897" w:rsidP="00F76AC4">
            <w:pPr>
              <w:pStyle w:val="Default"/>
              <w:rPr>
                <w:rFonts w:ascii="Calibri" w:hAnsi="Calibri"/>
                <w:b/>
              </w:rPr>
            </w:pPr>
            <w:r w:rsidRPr="008104B0">
              <w:rPr>
                <w:b/>
              </w:rPr>
              <w:t xml:space="preserve">Compare to </w:t>
            </w:r>
            <w:r w:rsidR="00F76AC4" w:rsidRPr="008104B0">
              <w:rPr>
                <w:b/>
              </w:rPr>
              <w:t xml:space="preserve">CIPPS Calculation </w:t>
            </w:r>
            <w:r w:rsidRPr="008104B0">
              <w:rPr>
                <w:b/>
              </w:rPr>
              <w:t xml:space="preserve">of </w:t>
            </w:r>
            <w:r w:rsidR="00F76AC4" w:rsidRPr="008104B0">
              <w:rPr>
                <w:b/>
              </w:rPr>
              <w:t>$175.77</w:t>
            </w:r>
          </w:p>
        </w:tc>
      </w:tr>
    </w:tbl>
    <w:p w:rsidR="000E49D5" w:rsidRPr="00EA3AF9" w:rsidRDefault="000E49D5" w:rsidP="000E49D5">
      <w:pPr>
        <w:tabs>
          <w:tab w:val="left" w:pos="3402"/>
        </w:tabs>
        <w:rPr>
          <w:sz w:val="16"/>
          <w:szCs w:val="16"/>
        </w:rPr>
      </w:pPr>
    </w:p>
    <w:p w:rsidR="000E49D5" w:rsidRPr="00544B0B" w:rsidRDefault="000E49D5" w:rsidP="000E49D5">
      <w:pPr>
        <w:pStyle w:val="BlockLine"/>
        <w:spacing w:before="0"/>
        <w:ind w:left="1354"/>
        <w:jc w:val="right"/>
        <w:rPr>
          <w:i/>
          <w:sz w:val="20"/>
        </w:rPr>
      </w:pPr>
      <w:r>
        <w:rPr>
          <w:i/>
          <w:sz w:val="20"/>
        </w:rPr>
        <w:t>Continued on next page</w:t>
      </w:r>
    </w:p>
    <w:p w:rsidR="000A5692" w:rsidRDefault="000A5692" w:rsidP="005A59D8">
      <w:pPr>
        <w:jc w:val="right"/>
        <w:rPr>
          <w:b/>
          <w:bCs/>
          <w:sz w:val="28"/>
          <w:szCs w:val="28"/>
        </w:rPr>
      </w:pPr>
      <w:r>
        <w:rPr>
          <w:b/>
          <w:bCs/>
          <w:sz w:val="28"/>
          <w:szCs w:val="28"/>
        </w:rPr>
        <w:br w:type="page"/>
      </w:r>
    </w:p>
    <w:p w:rsidR="00A44FF3" w:rsidRDefault="00A44FF3" w:rsidP="00A44FF3">
      <w:pPr>
        <w:pStyle w:val="Heading4"/>
        <w:spacing w:after="0"/>
        <w:rPr>
          <w:rFonts w:ascii="Times New Roman" w:hAnsi="Times New Roman"/>
          <w:b/>
          <w:sz w:val="28"/>
          <w:szCs w:val="28"/>
        </w:rPr>
      </w:pPr>
      <w:r>
        <w:rPr>
          <w:rFonts w:ascii="Times New Roman" w:hAnsi="Times New Roman"/>
          <w:b/>
          <w:bCs/>
          <w:sz w:val="28"/>
          <w:szCs w:val="28"/>
        </w:rPr>
        <w:lastRenderedPageBreak/>
        <w:t>CIPPS Overtime Calculation Methods</w:t>
      </w:r>
      <w:r>
        <w:rPr>
          <w:rFonts w:ascii="Times New Roman" w:hAnsi="Times New Roman"/>
          <w:b/>
          <w:sz w:val="28"/>
          <w:szCs w:val="28"/>
        </w:rPr>
        <w:t xml:space="preserve">, </w:t>
      </w:r>
      <w:r w:rsidRPr="00B65B4E">
        <w:rPr>
          <w:rFonts w:ascii="Times New Roman" w:hAnsi="Times New Roman"/>
          <w:sz w:val="28"/>
          <w:szCs w:val="28"/>
        </w:rPr>
        <w:t>continued</w:t>
      </w:r>
    </w:p>
    <w:p w:rsidR="00A44FF3" w:rsidRDefault="00A44FF3" w:rsidP="00A44FF3">
      <w:pPr>
        <w:pStyle w:val="BlockLine"/>
        <w:ind w:left="1620"/>
        <w:rPr>
          <w:sz w:val="16"/>
          <w:szCs w:val="16"/>
        </w:rPr>
      </w:pPr>
    </w:p>
    <w:tbl>
      <w:tblPr>
        <w:tblW w:w="9722" w:type="dxa"/>
        <w:tblLayout w:type="fixed"/>
        <w:tblLook w:val="0000"/>
      </w:tblPr>
      <w:tblGrid>
        <w:gridCol w:w="1649"/>
        <w:gridCol w:w="8073"/>
      </w:tblGrid>
      <w:tr w:rsidR="00A44FF3" w:rsidTr="0043525B">
        <w:trPr>
          <w:cantSplit/>
          <w:trHeight w:val="281"/>
        </w:trPr>
        <w:tc>
          <w:tcPr>
            <w:tcW w:w="1649" w:type="dxa"/>
          </w:tcPr>
          <w:p w:rsidR="00A44FF3" w:rsidRDefault="00A44FF3" w:rsidP="00787C29">
            <w:pPr>
              <w:pStyle w:val="Heading5"/>
            </w:pPr>
            <w:r>
              <w:rPr>
                <w:rFonts w:ascii="Times New Roman Bold" w:hAnsi="Times New Roman Bold"/>
                <w:bCs/>
                <w:sz w:val="24"/>
                <w:szCs w:val="24"/>
              </w:rPr>
              <w:t xml:space="preserve">Method #2 – </w:t>
            </w:r>
            <w:r w:rsidR="00787C29">
              <w:rPr>
                <w:rFonts w:ascii="Times New Roman Bold" w:hAnsi="Times New Roman Bold"/>
                <w:bCs/>
                <w:sz w:val="24"/>
                <w:szCs w:val="24"/>
              </w:rPr>
              <w:t>Automatic Overtime Calculations for Shift Payments</w:t>
            </w:r>
          </w:p>
        </w:tc>
        <w:tc>
          <w:tcPr>
            <w:tcW w:w="8073" w:type="dxa"/>
          </w:tcPr>
          <w:p w:rsidR="00A44FF3" w:rsidRPr="00027B45" w:rsidRDefault="000F014F" w:rsidP="009D4C35">
            <w:pPr>
              <w:pStyle w:val="Default"/>
            </w:pPr>
            <w:r>
              <w:t xml:space="preserve">CIPPS does not include a time and labor component, therefore, it cannot group </w:t>
            </w:r>
            <w:r w:rsidR="00BC416E" w:rsidRPr="00027B45">
              <w:t>hours worked for multiple</w:t>
            </w:r>
            <w:r w:rsidR="008104C1">
              <w:t xml:space="preserve"> </w:t>
            </w:r>
            <w:r w:rsidR="00BC416E" w:rsidRPr="00027B45">
              <w:t xml:space="preserve">shifts by a particular work cycle (for example a work week).  </w:t>
            </w:r>
            <w:r>
              <w:t>Thus, CIPPS cannot calculate the exact “Regular Rate” for each work cycle</w:t>
            </w:r>
            <w:r w:rsidR="00FF0E3F" w:rsidRPr="00027B45">
              <w:t xml:space="preserve">.  </w:t>
            </w:r>
            <w:r>
              <w:t>I</w:t>
            </w:r>
            <w:r w:rsidR="00FF0E3F" w:rsidRPr="00027B45">
              <w:t xml:space="preserve">n order to ensure FLSA compliance and maintain the ability to automate high volumes of transactions, </w:t>
            </w:r>
            <w:r>
              <w:t xml:space="preserve">it is </w:t>
            </w:r>
            <w:r w:rsidR="00FF0E3F" w:rsidRPr="00027B45">
              <w:t>recommend</w:t>
            </w:r>
            <w:r>
              <w:t>ed</w:t>
            </w:r>
            <w:r w:rsidR="00FF0E3F" w:rsidRPr="00027B45">
              <w:t xml:space="preserve"> that agencies use Method #2 as described in this section.  Method #2 will result in a slightly higher overtime rate</w:t>
            </w:r>
            <w:r w:rsidR="008104C1">
              <w:t>; h</w:t>
            </w:r>
            <w:r w:rsidR="009D4C35" w:rsidRPr="00027B45">
              <w:t>owever</w:t>
            </w:r>
            <w:r w:rsidR="008104C1">
              <w:t>,</w:t>
            </w:r>
            <w:r w:rsidR="009D4C35" w:rsidRPr="00027B45">
              <w:t xml:space="preserve"> the complications involved with manual processing as well as the assurance of FLSA compliance are well worth the investment.</w:t>
            </w:r>
          </w:p>
          <w:p w:rsidR="009D4C35" w:rsidRPr="00027B45" w:rsidRDefault="009D4C35" w:rsidP="009D4C35">
            <w:pPr>
              <w:pStyle w:val="Default"/>
            </w:pPr>
          </w:p>
          <w:p w:rsidR="009D4C35" w:rsidRPr="00AB265D" w:rsidRDefault="00C24138" w:rsidP="009D4C35">
            <w:pPr>
              <w:pStyle w:val="Default"/>
              <w:rPr>
                <w:b/>
              </w:rPr>
            </w:pPr>
            <w:r w:rsidRPr="00AB265D">
              <w:rPr>
                <w:b/>
              </w:rPr>
              <w:t>To calculate overtime with Shift Payments your H0BBN screen should be established as shown in one of the two examples below:</w:t>
            </w:r>
          </w:p>
          <w:p w:rsidR="00C24138" w:rsidRPr="00027B45" w:rsidRDefault="00C24138" w:rsidP="009D4C35">
            <w:pPr>
              <w:pStyle w:val="Default"/>
            </w:pPr>
          </w:p>
          <w:p w:rsidR="00C24138" w:rsidRPr="00027B45" w:rsidRDefault="00C24138" w:rsidP="009D4C35">
            <w:pPr>
              <w:pStyle w:val="Default"/>
            </w:pPr>
            <w:r w:rsidRPr="00027B45">
              <w:t>Option #1 – Shift Premiums on the H0BBN screen.  Shift Location will contain the number “9” and the Shift 2 and Shift 3 premiums will be populated.   Shift and Shift Rate indicators should be “4”.</w:t>
            </w:r>
            <w:r w:rsidR="000F3BC5" w:rsidRPr="00027B45">
              <w:t xml:space="preserve">  </w:t>
            </w:r>
            <w:r w:rsidR="000F3BC5" w:rsidRPr="00634567">
              <w:rPr>
                <w:i/>
              </w:rPr>
              <w:t>The Shift 2 Premium should always reflect the lower rate.</w:t>
            </w:r>
          </w:p>
          <w:p w:rsidR="00C24138" w:rsidRDefault="00C24138" w:rsidP="009D4C35">
            <w:pPr>
              <w:pStyle w:val="Default"/>
              <w:rPr>
                <w:rFonts w:ascii="Calibri" w:hAnsi="Calibri"/>
              </w:rPr>
            </w:pPr>
          </w:p>
          <w:p w:rsidR="009D4C35" w:rsidRDefault="004830D4" w:rsidP="004830D4">
            <w:pPr>
              <w:pStyle w:val="Default"/>
              <w:rPr>
                <w:rFonts w:ascii="Calibri" w:hAnsi="Calibri"/>
              </w:rPr>
            </w:pPr>
            <w:r>
              <w:rPr>
                <w:rFonts w:ascii="Calibri" w:hAnsi="Calibri"/>
                <w:noProof/>
              </w:rPr>
              <w:drawing>
                <wp:inline distT="0" distB="0" distL="0" distR="0">
                  <wp:extent cx="4629150" cy="1628611"/>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629150" cy="1628611"/>
                          </a:xfrm>
                          <a:prstGeom prst="rect">
                            <a:avLst/>
                          </a:prstGeom>
                          <a:noFill/>
                          <a:ln w="9525">
                            <a:noFill/>
                            <a:miter lim="800000"/>
                            <a:headEnd/>
                            <a:tailEnd/>
                          </a:ln>
                        </pic:spPr>
                      </pic:pic>
                    </a:graphicData>
                  </a:graphic>
                </wp:inline>
              </w:drawing>
            </w:r>
          </w:p>
          <w:p w:rsidR="00AD7509" w:rsidRDefault="00AD7509" w:rsidP="00C24138">
            <w:pPr>
              <w:pStyle w:val="Default"/>
              <w:rPr>
                <w:rFonts w:ascii="Calibri" w:hAnsi="Calibri"/>
              </w:rPr>
            </w:pPr>
          </w:p>
          <w:p w:rsidR="00C24138" w:rsidRPr="00027B45" w:rsidRDefault="00C24138" w:rsidP="00C24138">
            <w:pPr>
              <w:pStyle w:val="Default"/>
            </w:pPr>
            <w:r w:rsidRPr="00027B45">
              <w:t>Option #2 – Shift Premiums established on H0CCH screen</w:t>
            </w:r>
            <w:r w:rsidR="00A165BB">
              <w:t>.  DOA can set Shift 2 to reflect the lower premium upon request.</w:t>
            </w:r>
            <w:r w:rsidR="007337C8">
              <w:t xml:space="preserve">  The H0</w:t>
            </w:r>
            <w:r w:rsidR="00182A5C">
              <w:t>BBN screen should look like this</w:t>
            </w:r>
            <w:r w:rsidR="00387BF4">
              <w:t xml:space="preserve"> when used with the H0CCH</w:t>
            </w:r>
            <w:r w:rsidR="00182A5C">
              <w:t>:</w:t>
            </w:r>
          </w:p>
          <w:p w:rsidR="00C24138" w:rsidRDefault="00C24138" w:rsidP="00C24138">
            <w:pPr>
              <w:pStyle w:val="Default"/>
              <w:rPr>
                <w:rFonts w:ascii="Calibri" w:hAnsi="Calibri"/>
              </w:rPr>
            </w:pPr>
          </w:p>
          <w:p w:rsidR="00C24138" w:rsidRPr="00BC416E" w:rsidRDefault="00C24138" w:rsidP="00C24138">
            <w:pPr>
              <w:pStyle w:val="Default"/>
              <w:rPr>
                <w:rFonts w:ascii="Calibri" w:hAnsi="Calibri"/>
              </w:rPr>
            </w:pPr>
            <w:r>
              <w:rPr>
                <w:rFonts w:ascii="Calibri" w:hAnsi="Calibri"/>
                <w:noProof/>
              </w:rPr>
              <w:drawing>
                <wp:inline distT="0" distB="0" distL="0" distR="0">
                  <wp:extent cx="5095875" cy="1813313"/>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095875" cy="1813313"/>
                          </a:xfrm>
                          <a:prstGeom prst="rect">
                            <a:avLst/>
                          </a:prstGeom>
                          <a:noFill/>
                          <a:ln w="9525">
                            <a:noFill/>
                            <a:miter lim="800000"/>
                            <a:headEnd/>
                            <a:tailEnd/>
                          </a:ln>
                        </pic:spPr>
                      </pic:pic>
                    </a:graphicData>
                  </a:graphic>
                </wp:inline>
              </w:drawing>
            </w:r>
          </w:p>
        </w:tc>
      </w:tr>
    </w:tbl>
    <w:p w:rsidR="0096387B" w:rsidRPr="00EA3AF9" w:rsidRDefault="0096387B" w:rsidP="0096387B">
      <w:pPr>
        <w:tabs>
          <w:tab w:val="left" w:pos="3402"/>
        </w:tabs>
        <w:rPr>
          <w:sz w:val="16"/>
          <w:szCs w:val="16"/>
        </w:rPr>
      </w:pPr>
    </w:p>
    <w:p w:rsidR="0096387B" w:rsidRPr="00544B0B" w:rsidRDefault="0096387B" w:rsidP="0096387B">
      <w:pPr>
        <w:pStyle w:val="BlockLine"/>
        <w:spacing w:before="0"/>
        <w:ind w:left="1354"/>
        <w:jc w:val="right"/>
        <w:rPr>
          <w:i/>
          <w:sz w:val="20"/>
        </w:rPr>
      </w:pPr>
      <w:r>
        <w:rPr>
          <w:i/>
          <w:sz w:val="20"/>
        </w:rPr>
        <w:t>Continued on next page</w:t>
      </w:r>
    </w:p>
    <w:p w:rsidR="00027B45" w:rsidRDefault="00027B45" w:rsidP="00027B45">
      <w:r>
        <w:br w:type="page"/>
      </w:r>
    </w:p>
    <w:p w:rsidR="0043525B" w:rsidRDefault="0043525B" w:rsidP="0043525B">
      <w:pPr>
        <w:pStyle w:val="Heading4"/>
        <w:spacing w:after="0"/>
        <w:rPr>
          <w:rFonts w:ascii="Times New Roman" w:hAnsi="Times New Roman"/>
          <w:b/>
          <w:sz w:val="28"/>
          <w:szCs w:val="28"/>
        </w:rPr>
      </w:pPr>
      <w:r>
        <w:rPr>
          <w:rFonts w:ascii="Times New Roman" w:hAnsi="Times New Roman"/>
          <w:b/>
          <w:bCs/>
          <w:sz w:val="28"/>
          <w:szCs w:val="28"/>
        </w:rPr>
        <w:lastRenderedPageBreak/>
        <w:t>CIPPS Overtime Calculation Methods</w:t>
      </w:r>
      <w:r>
        <w:rPr>
          <w:rFonts w:ascii="Times New Roman" w:hAnsi="Times New Roman"/>
          <w:b/>
          <w:sz w:val="28"/>
          <w:szCs w:val="28"/>
        </w:rPr>
        <w:t xml:space="preserve">, </w:t>
      </w:r>
      <w:r w:rsidRPr="00B65B4E">
        <w:rPr>
          <w:rFonts w:ascii="Times New Roman" w:hAnsi="Times New Roman"/>
          <w:sz w:val="28"/>
          <w:szCs w:val="28"/>
        </w:rPr>
        <w:t>continued</w:t>
      </w:r>
    </w:p>
    <w:p w:rsidR="0043525B" w:rsidRDefault="0043525B" w:rsidP="0043525B">
      <w:pPr>
        <w:pStyle w:val="BlockLine"/>
        <w:ind w:left="1620"/>
        <w:rPr>
          <w:sz w:val="16"/>
          <w:szCs w:val="16"/>
        </w:rPr>
      </w:pPr>
    </w:p>
    <w:tbl>
      <w:tblPr>
        <w:tblW w:w="9722" w:type="dxa"/>
        <w:tblLayout w:type="fixed"/>
        <w:tblLook w:val="0000"/>
      </w:tblPr>
      <w:tblGrid>
        <w:gridCol w:w="1649"/>
        <w:gridCol w:w="8073"/>
      </w:tblGrid>
      <w:tr w:rsidR="0043525B" w:rsidTr="00503E29">
        <w:trPr>
          <w:cantSplit/>
          <w:trHeight w:val="281"/>
        </w:trPr>
        <w:tc>
          <w:tcPr>
            <w:tcW w:w="1649" w:type="dxa"/>
          </w:tcPr>
          <w:p w:rsidR="0043525B" w:rsidRDefault="0043525B" w:rsidP="00503E29">
            <w:pPr>
              <w:pStyle w:val="Heading5"/>
            </w:pPr>
            <w:r>
              <w:rPr>
                <w:rFonts w:ascii="Times New Roman Bold" w:hAnsi="Times New Roman Bold"/>
                <w:bCs/>
                <w:sz w:val="24"/>
                <w:szCs w:val="24"/>
              </w:rPr>
              <w:t>Method #2 – Automatic Overtime Calculations for Shift Payments, continued</w:t>
            </w:r>
          </w:p>
        </w:tc>
        <w:tc>
          <w:tcPr>
            <w:tcW w:w="8073" w:type="dxa"/>
          </w:tcPr>
          <w:p w:rsidR="00E74F3A" w:rsidRPr="00A16DFC" w:rsidRDefault="00541D40" w:rsidP="009F598A">
            <w:pPr>
              <w:pStyle w:val="Default"/>
            </w:pPr>
            <w:r w:rsidRPr="00A16DFC">
              <w:t>Consider a</w:t>
            </w:r>
            <w:r w:rsidR="009F598A" w:rsidRPr="00A16DFC">
              <w:t xml:space="preserve"> </w:t>
            </w:r>
            <w:r w:rsidR="0055255F">
              <w:t>n</w:t>
            </w:r>
            <w:r w:rsidR="009F598A" w:rsidRPr="00A16DFC">
              <w:t>on-</w:t>
            </w:r>
            <w:r w:rsidR="0055255F">
              <w:t>e</w:t>
            </w:r>
            <w:r w:rsidR="009F598A" w:rsidRPr="00A16DFC">
              <w:t>xempt</w:t>
            </w:r>
            <w:r w:rsidR="0055255F">
              <w:t>, salaried</w:t>
            </w:r>
            <w:r w:rsidR="009F598A" w:rsidRPr="00A16DFC">
              <w:t xml:space="preserve"> employee with a 7</w:t>
            </w:r>
            <w:r w:rsidR="0031514A">
              <w:t>-</w:t>
            </w:r>
            <w:r w:rsidR="009F598A" w:rsidRPr="00A16DFC">
              <w:t xml:space="preserve">day work cycle </w:t>
            </w:r>
            <w:r w:rsidR="0055255F">
              <w:t xml:space="preserve">and </w:t>
            </w:r>
            <w:r w:rsidR="009F598A" w:rsidRPr="00A16DFC">
              <w:t xml:space="preserve">a </w:t>
            </w:r>
            <w:r w:rsidR="0055255F">
              <w:t>s</w:t>
            </w:r>
            <w:r w:rsidR="009F598A" w:rsidRPr="00A16DFC">
              <w:t>emi-</w:t>
            </w:r>
            <w:r w:rsidR="0055255F">
              <w:t>monthly s</w:t>
            </w:r>
            <w:r w:rsidR="009F598A" w:rsidRPr="00A16DFC">
              <w:t>alary of $836.75.</w:t>
            </w:r>
            <w:r w:rsidR="00573D72" w:rsidRPr="00A16DFC">
              <w:t xml:space="preserve"> </w:t>
            </w:r>
            <w:r w:rsidR="009F598A" w:rsidRPr="00A16DFC">
              <w:t>(Hourly Rate $9.65).  The employee earns an additional $.75</w:t>
            </w:r>
            <w:r w:rsidR="0055255F">
              <w:t>/hour</w:t>
            </w:r>
            <w:r w:rsidR="009F598A" w:rsidRPr="00A16DFC">
              <w:t xml:space="preserve"> for hours worked on Shift 2 and an additional $1.00</w:t>
            </w:r>
            <w:r w:rsidR="0055255F">
              <w:t>/hour</w:t>
            </w:r>
            <w:r w:rsidR="009F598A" w:rsidRPr="00A16DFC">
              <w:t xml:space="preserve"> for hours worked on Shift 3.  There are 3 work weeks to be paid</w:t>
            </w:r>
            <w:r w:rsidRPr="00A16DFC">
              <w:t xml:space="preserve"> during the </w:t>
            </w:r>
            <w:r w:rsidR="0055255F">
              <w:t>s</w:t>
            </w:r>
            <w:r w:rsidRPr="00A16DFC">
              <w:t>emi-</w:t>
            </w:r>
            <w:r w:rsidR="0055255F">
              <w:t>m</w:t>
            </w:r>
            <w:r w:rsidRPr="00A16DFC">
              <w:t xml:space="preserve">onthly </w:t>
            </w:r>
            <w:r w:rsidR="0055255F">
              <w:t xml:space="preserve">pay </w:t>
            </w:r>
            <w:r w:rsidRPr="00A16DFC">
              <w:t xml:space="preserve">period.  Specifics of each </w:t>
            </w:r>
            <w:r w:rsidR="0055255F">
              <w:t>work w</w:t>
            </w:r>
            <w:r w:rsidRPr="00A16DFC">
              <w:t xml:space="preserve">eek as well as the FLSA </w:t>
            </w:r>
            <w:r w:rsidR="0055255F">
              <w:t>c</w:t>
            </w:r>
            <w:r w:rsidRPr="00A16DFC">
              <w:t>omputations are shown below:</w:t>
            </w:r>
          </w:p>
          <w:p w:rsidR="009F598A" w:rsidRPr="0031514A" w:rsidRDefault="009F598A" w:rsidP="009F598A">
            <w:pPr>
              <w:pStyle w:val="Default"/>
              <w:rPr>
                <w:sz w:val="16"/>
                <w:szCs w:val="16"/>
              </w:rPr>
            </w:pPr>
          </w:p>
          <w:p w:rsidR="00541D40" w:rsidRDefault="009F598A" w:rsidP="009F598A">
            <w:pPr>
              <w:pStyle w:val="Default"/>
            </w:pPr>
            <w:r w:rsidRPr="00A16DFC">
              <w:rPr>
                <w:b/>
              </w:rPr>
              <w:t>Work Week 1</w:t>
            </w:r>
            <w:r w:rsidRPr="00A16DFC">
              <w:t xml:space="preserve"> – The employee worked 56 Hours Total.  54.3 of those hours were worked on Shift 3.  The employee earn</w:t>
            </w:r>
            <w:r w:rsidR="00135890" w:rsidRPr="00A16DFC">
              <w:t>ed 16 Hours of premium overtime.</w:t>
            </w:r>
            <w:r w:rsidR="00541D40" w:rsidRPr="00A16DFC">
              <w:t xml:space="preserve">  </w:t>
            </w:r>
          </w:p>
          <w:p w:rsidR="00B937A7" w:rsidRPr="00135890" w:rsidRDefault="00B937A7" w:rsidP="009F598A">
            <w:pPr>
              <w:pStyle w:val="Default"/>
              <w:rPr>
                <w:rFonts w:ascii="Calibri" w:hAnsi="Calibri"/>
                <w:sz w:val="22"/>
                <w:szCs w:val="22"/>
              </w:rPr>
            </w:pPr>
          </w:p>
          <w:p w:rsidR="00135890" w:rsidRDefault="00B937A7" w:rsidP="009F598A">
            <w:pPr>
              <w:pStyle w:val="Default"/>
              <w:rPr>
                <w:rFonts w:ascii="Calibri" w:hAnsi="Calibri"/>
              </w:rPr>
            </w:pPr>
            <w:r>
              <w:rPr>
                <w:rFonts w:ascii="Calibri" w:hAnsi="Calibri"/>
                <w:noProof/>
              </w:rPr>
              <w:drawing>
                <wp:inline distT="0" distB="0" distL="0" distR="0">
                  <wp:extent cx="4991100" cy="25622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991100" cy="2562225"/>
                          </a:xfrm>
                          <a:prstGeom prst="rect">
                            <a:avLst/>
                          </a:prstGeom>
                          <a:noFill/>
                          <a:ln w="9525">
                            <a:noFill/>
                            <a:miter lim="800000"/>
                            <a:headEnd/>
                            <a:tailEnd/>
                          </a:ln>
                        </pic:spPr>
                      </pic:pic>
                    </a:graphicData>
                  </a:graphic>
                </wp:inline>
              </w:drawing>
            </w:r>
          </w:p>
          <w:p w:rsidR="009F598A" w:rsidRDefault="009F598A" w:rsidP="009F598A">
            <w:pPr>
              <w:pStyle w:val="Default"/>
              <w:rPr>
                <w:rFonts w:ascii="Calibri" w:hAnsi="Calibri"/>
              </w:rPr>
            </w:pPr>
          </w:p>
          <w:p w:rsidR="00541D40" w:rsidRPr="00A16DFC" w:rsidRDefault="00135890" w:rsidP="00541D40">
            <w:pPr>
              <w:pStyle w:val="Default"/>
            </w:pPr>
            <w:r w:rsidRPr="00A16DFC">
              <w:rPr>
                <w:b/>
              </w:rPr>
              <w:t>Work Week 2</w:t>
            </w:r>
            <w:r w:rsidRPr="00A16DFC">
              <w:t xml:space="preserve"> – The employee worked 48 Hours Total.  8 Hours were worked on Shift 2.  The employee earned 8 Hours of premium overtime.</w:t>
            </w:r>
            <w:r w:rsidR="00541D40" w:rsidRPr="00A16DFC">
              <w:t xml:space="preserve"> </w:t>
            </w:r>
          </w:p>
          <w:p w:rsidR="00135890" w:rsidRPr="00135890" w:rsidRDefault="00135890" w:rsidP="009F598A">
            <w:pPr>
              <w:pStyle w:val="Default"/>
              <w:rPr>
                <w:rFonts w:ascii="Calibri" w:hAnsi="Calibri"/>
                <w:sz w:val="22"/>
                <w:szCs w:val="22"/>
              </w:rPr>
            </w:pPr>
          </w:p>
          <w:p w:rsidR="00135890" w:rsidRPr="00BC416E" w:rsidRDefault="00B937A7" w:rsidP="009F598A">
            <w:pPr>
              <w:pStyle w:val="Default"/>
              <w:rPr>
                <w:rFonts w:ascii="Calibri" w:hAnsi="Calibri"/>
              </w:rPr>
            </w:pPr>
            <w:r>
              <w:rPr>
                <w:rFonts w:ascii="Calibri" w:hAnsi="Calibri"/>
                <w:noProof/>
              </w:rPr>
              <w:drawing>
                <wp:inline distT="0" distB="0" distL="0" distR="0">
                  <wp:extent cx="4991100" cy="256222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991100" cy="2562225"/>
                          </a:xfrm>
                          <a:prstGeom prst="rect">
                            <a:avLst/>
                          </a:prstGeom>
                          <a:noFill/>
                          <a:ln w="9525">
                            <a:noFill/>
                            <a:miter lim="800000"/>
                            <a:headEnd/>
                            <a:tailEnd/>
                          </a:ln>
                        </pic:spPr>
                      </pic:pic>
                    </a:graphicData>
                  </a:graphic>
                </wp:inline>
              </w:drawing>
            </w:r>
          </w:p>
        </w:tc>
      </w:tr>
    </w:tbl>
    <w:p w:rsidR="0096387B" w:rsidRPr="00EA3AF9" w:rsidRDefault="0096387B" w:rsidP="0096387B">
      <w:pPr>
        <w:tabs>
          <w:tab w:val="left" w:pos="3402"/>
        </w:tabs>
        <w:rPr>
          <w:sz w:val="16"/>
          <w:szCs w:val="16"/>
        </w:rPr>
      </w:pPr>
    </w:p>
    <w:p w:rsidR="0096387B" w:rsidRPr="00544B0B" w:rsidRDefault="0096387B" w:rsidP="0096387B">
      <w:pPr>
        <w:pStyle w:val="BlockLine"/>
        <w:spacing w:before="0"/>
        <w:ind w:left="1354"/>
        <w:jc w:val="right"/>
        <w:rPr>
          <w:i/>
          <w:sz w:val="20"/>
        </w:rPr>
      </w:pPr>
      <w:r>
        <w:rPr>
          <w:i/>
          <w:sz w:val="20"/>
        </w:rPr>
        <w:t>Continued on next page</w:t>
      </w:r>
    </w:p>
    <w:p w:rsidR="0096387B" w:rsidRDefault="0096387B" w:rsidP="0096387B">
      <w:r>
        <w:br w:type="page"/>
      </w:r>
    </w:p>
    <w:p w:rsidR="00817B4A" w:rsidRDefault="00817B4A" w:rsidP="00817B4A">
      <w:pPr>
        <w:pStyle w:val="Heading4"/>
        <w:spacing w:after="0"/>
        <w:rPr>
          <w:rFonts w:ascii="Times New Roman" w:hAnsi="Times New Roman"/>
          <w:b/>
          <w:sz w:val="28"/>
          <w:szCs w:val="28"/>
        </w:rPr>
      </w:pPr>
      <w:r>
        <w:rPr>
          <w:rFonts w:ascii="Times New Roman" w:hAnsi="Times New Roman"/>
          <w:b/>
          <w:bCs/>
          <w:sz w:val="28"/>
          <w:szCs w:val="28"/>
        </w:rPr>
        <w:lastRenderedPageBreak/>
        <w:t>CIPPS Overtime Calculation Methods</w:t>
      </w:r>
      <w:r>
        <w:rPr>
          <w:rFonts w:ascii="Times New Roman" w:hAnsi="Times New Roman"/>
          <w:b/>
          <w:sz w:val="28"/>
          <w:szCs w:val="28"/>
        </w:rPr>
        <w:t xml:space="preserve">, </w:t>
      </w:r>
      <w:r w:rsidRPr="00B65B4E">
        <w:rPr>
          <w:rFonts w:ascii="Times New Roman" w:hAnsi="Times New Roman"/>
          <w:sz w:val="28"/>
          <w:szCs w:val="28"/>
        </w:rPr>
        <w:t>continued</w:t>
      </w:r>
    </w:p>
    <w:p w:rsidR="00817B4A" w:rsidRDefault="00817B4A" w:rsidP="00817B4A">
      <w:pPr>
        <w:pStyle w:val="BlockLine"/>
        <w:ind w:left="1620"/>
        <w:rPr>
          <w:sz w:val="16"/>
          <w:szCs w:val="16"/>
        </w:rPr>
      </w:pPr>
    </w:p>
    <w:tbl>
      <w:tblPr>
        <w:tblW w:w="9722" w:type="dxa"/>
        <w:tblLayout w:type="fixed"/>
        <w:tblLook w:val="0000"/>
      </w:tblPr>
      <w:tblGrid>
        <w:gridCol w:w="1649"/>
        <w:gridCol w:w="8073"/>
      </w:tblGrid>
      <w:tr w:rsidR="00817B4A" w:rsidTr="00817B4A">
        <w:trPr>
          <w:cantSplit/>
          <w:trHeight w:val="281"/>
        </w:trPr>
        <w:tc>
          <w:tcPr>
            <w:tcW w:w="1649" w:type="dxa"/>
          </w:tcPr>
          <w:p w:rsidR="00817B4A" w:rsidRDefault="00817B4A" w:rsidP="00817B4A">
            <w:pPr>
              <w:pStyle w:val="Heading5"/>
            </w:pPr>
            <w:r>
              <w:rPr>
                <w:rFonts w:ascii="Times New Roman Bold" w:hAnsi="Times New Roman Bold"/>
                <w:bCs/>
                <w:sz w:val="24"/>
                <w:szCs w:val="24"/>
              </w:rPr>
              <w:t>Method #2 – Automatic Overtime Calculations for Shift Payments, continued</w:t>
            </w:r>
          </w:p>
        </w:tc>
        <w:tc>
          <w:tcPr>
            <w:tcW w:w="8073" w:type="dxa"/>
          </w:tcPr>
          <w:p w:rsidR="00817B4A" w:rsidRPr="00A16DFC" w:rsidRDefault="00817B4A" w:rsidP="00817B4A">
            <w:pPr>
              <w:pStyle w:val="Default"/>
            </w:pPr>
            <w:r w:rsidRPr="00A16DFC">
              <w:rPr>
                <w:b/>
              </w:rPr>
              <w:t>Work Week 3</w:t>
            </w:r>
            <w:r w:rsidRPr="00A16DFC">
              <w:t xml:space="preserve"> – The employee worked </w:t>
            </w:r>
            <w:r w:rsidR="00541D40" w:rsidRPr="00A16DFC">
              <w:t>55.8</w:t>
            </w:r>
            <w:r w:rsidRPr="00A16DFC">
              <w:t xml:space="preserve"> Hours Total. </w:t>
            </w:r>
            <w:r w:rsidR="00541D40" w:rsidRPr="00A16DFC">
              <w:t xml:space="preserve">None of those hours </w:t>
            </w:r>
            <w:r w:rsidRPr="00A16DFC">
              <w:t xml:space="preserve">were worked on </w:t>
            </w:r>
            <w:r w:rsidR="00541D40" w:rsidRPr="00A16DFC">
              <w:t>a Shift</w:t>
            </w:r>
            <w:r w:rsidRPr="00A16DFC">
              <w:t>.  The employee earned</w:t>
            </w:r>
            <w:r w:rsidR="00541D40" w:rsidRPr="00A16DFC">
              <w:t xml:space="preserve"> 15.8 Hours of premium overtime.</w:t>
            </w:r>
          </w:p>
          <w:p w:rsidR="00817B4A" w:rsidRDefault="00817B4A" w:rsidP="00817B4A">
            <w:pPr>
              <w:pStyle w:val="Default"/>
              <w:rPr>
                <w:rFonts w:ascii="Calibri" w:hAnsi="Calibri"/>
              </w:rPr>
            </w:pPr>
          </w:p>
          <w:p w:rsidR="00817B4A" w:rsidRDefault="00C042F0" w:rsidP="00817B4A">
            <w:pPr>
              <w:pStyle w:val="Default"/>
              <w:rPr>
                <w:rFonts w:ascii="Calibri" w:hAnsi="Calibri"/>
              </w:rPr>
            </w:pPr>
            <w:r>
              <w:rPr>
                <w:rFonts w:ascii="Calibri" w:hAnsi="Calibri"/>
                <w:noProof/>
              </w:rPr>
              <w:drawing>
                <wp:inline distT="0" distB="0" distL="0" distR="0">
                  <wp:extent cx="4991100" cy="2562225"/>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991100" cy="2562225"/>
                          </a:xfrm>
                          <a:prstGeom prst="rect">
                            <a:avLst/>
                          </a:prstGeom>
                          <a:noFill/>
                          <a:ln w="9525">
                            <a:noFill/>
                            <a:miter lim="800000"/>
                            <a:headEnd/>
                            <a:tailEnd/>
                          </a:ln>
                        </pic:spPr>
                      </pic:pic>
                    </a:graphicData>
                  </a:graphic>
                </wp:inline>
              </w:drawing>
            </w:r>
          </w:p>
          <w:p w:rsidR="00817B4A" w:rsidRDefault="00817B4A" w:rsidP="00817B4A">
            <w:pPr>
              <w:pStyle w:val="Default"/>
              <w:rPr>
                <w:rFonts w:ascii="Calibri" w:hAnsi="Calibri"/>
              </w:rPr>
            </w:pPr>
          </w:p>
          <w:p w:rsidR="00694F96" w:rsidRDefault="00496B54" w:rsidP="00BB69FE">
            <w:pPr>
              <w:pStyle w:val="Default"/>
            </w:pPr>
            <w:r w:rsidRPr="00DF5F82">
              <w:t xml:space="preserve">NOTE:  Testing has proven that if all of the overtime hours in a particular work cycle </w:t>
            </w:r>
            <w:r w:rsidR="00B84642">
              <w:t xml:space="preserve">are </w:t>
            </w:r>
            <w:r w:rsidR="00F71154">
              <w:t>associated with</w:t>
            </w:r>
            <w:r w:rsidRPr="00DF5F82">
              <w:t xml:space="preserve"> the highest Shift Rate worked in that work cycle, the resulting overtime is only slightly higher than the FLSA required rate as shown above.</w:t>
            </w:r>
          </w:p>
          <w:p w:rsidR="00694F96" w:rsidRDefault="00694F96" w:rsidP="00BB69FE">
            <w:pPr>
              <w:pStyle w:val="Default"/>
            </w:pPr>
          </w:p>
          <w:p w:rsidR="003206CB" w:rsidRPr="00BB69FE" w:rsidRDefault="00496B54" w:rsidP="00600596">
            <w:pPr>
              <w:pStyle w:val="Default"/>
              <w:rPr>
                <w:rFonts w:ascii="Calibri" w:hAnsi="Calibri"/>
              </w:rPr>
            </w:pPr>
            <w:r w:rsidRPr="00DF5F82">
              <w:t>For example</w:t>
            </w:r>
            <w:r w:rsidR="00B84642">
              <w:t>, if Shift 2 was the only s</w:t>
            </w:r>
            <w:r w:rsidRPr="00DF5F82">
              <w:t xml:space="preserve">hift worked during a cycle, key the overtime indicator on HUA03 along with a “2” in the Shift Indicator.  If Shift 2 </w:t>
            </w:r>
            <w:r w:rsidRPr="00694F96">
              <w:rPr>
                <w:i/>
              </w:rPr>
              <w:t>and</w:t>
            </w:r>
            <w:r w:rsidRPr="00DF5F82">
              <w:t xml:space="preserve"> Shift 3 were worked during a work cycle, then key the overtime indicator on HUA03 </w:t>
            </w:r>
            <w:r w:rsidR="00600596" w:rsidRPr="00600596">
              <w:rPr>
                <w:i/>
              </w:rPr>
              <w:t>with only</w:t>
            </w:r>
            <w:r w:rsidR="00600596">
              <w:t xml:space="preserve"> </w:t>
            </w:r>
            <w:r w:rsidRPr="00DF5F82">
              <w:t>a “3” in the Shift Indicator.  If no Shift hours were worked during the work cycle</w:t>
            </w:r>
            <w:r w:rsidR="00694F96">
              <w:t xml:space="preserve"> </w:t>
            </w:r>
            <w:r w:rsidRPr="00DF5F82">
              <w:t xml:space="preserve">leave the Shift Indicator blank on HUA03 when overtime hours are keyed.  Provided the agency makes it a practice to </w:t>
            </w:r>
            <w:r w:rsidR="00B84642">
              <w:t>establish</w:t>
            </w:r>
            <w:r w:rsidRPr="00DF5F82">
              <w:t xml:space="preserve"> the lower rate as Shift 2 and the higher rate as Shift 3 on the employee </w:t>
            </w:r>
            <w:proofErr w:type="spellStart"/>
            <w:r w:rsidRPr="00DF5F82">
              <w:t>masterfile</w:t>
            </w:r>
            <w:proofErr w:type="spellEnd"/>
            <w:r w:rsidRPr="00DF5F82">
              <w:t>, FLSA compliance will be maintained and the agency will not have to manually calculate high volumes of transactions</w:t>
            </w:r>
            <w:r w:rsidR="00694F96">
              <w:t>.</w:t>
            </w:r>
          </w:p>
        </w:tc>
      </w:tr>
    </w:tbl>
    <w:p w:rsidR="0096387B" w:rsidRPr="00EA3AF9" w:rsidRDefault="0096387B" w:rsidP="0096387B">
      <w:pPr>
        <w:tabs>
          <w:tab w:val="left" w:pos="3402"/>
        </w:tabs>
        <w:rPr>
          <w:sz w:val="16"/>
          <w:szCs w:val="16"/>
        </w:rPr>
      </w:pPr>
    </w:p>
    <w:p w:rsidR="0096387B" w:rsidRPr="00544B0B" w:rsidRDefault="0096387B" w:rsidP="0096387B">
      <w:pPr>
        <w:pStyle w:val="BlockLine"/>
        <w:spacing w:before="0"/>
        <w:ind w:left="1354"/>
        <w:jc w:val="right"/>
        <w:rPr>
          <w:i/>
          <w:sz w:val="20"/>
        </w:rPr>
      </w:pPr>
      <w:r>
        <w:rPr>
          <w:i/>
          <w:sz w:val="20"/>
        </w:rPr>
        <w:t>Continued on next page</w:t>
      </w:r>
    </w:p>
    <w:p w:rsidR="00A44FF3" w:rsidRDefault="00A44FF3" w:rsidP="000C7D52"/>
    <w:p w:rsidR="00496B54" w:rsidRDefault="00496B54" w:rsidP="00496B54">
      <w:pPr>
        <w:pStyle w:val="Heading4"/>
        <w:spacing w:after="0"/>
        <w:rPr>
          <w:rFonts w:ascii="Times New Roman" w:hAnsi="Times New Roman"/>
          <w:b/>
          <w:bCs/>
          <w:sz w:val="28"/>
          <w:szCs w:val="28"/>
        </w:rPr>
      </w:pPr>
    </w:p>
    <w:p w:rsidR="004A2EB5" w:rsidRDefault="004A2EB5">
      <w:pPr>
        <w:rPr>
          <w:b/>
          <w:bCs/>
          <w:sz w:val="28"/>
          <w:szCs w:val="28"/>
        </w:rPr>
      </w:pPr>
      <w:r>
        <w:rPr>
          <w:b/>
          <w:bCs/>
          <w:sz w:val="28"/>
          <w:szCs w:val="28"/>
        </w:rPr>
        <w:br w:type="page"/>
      </w:r>
    </w:p>
    <w:p w:rsidR="00496B54" w:rsidRDefault="00496B54" w:rsidP="00496B54">
      <w:pPr>
        <w:pStyle w:val="Heading4"/>
        <w:spacing w:after="0"/>
        <w:rPr>
          <w:rFonts w:ascii="Times New Roman" w:hAnsi="Times New Roman"/>
          <w:b/>
          <w:sz w:val="28"/>
          <w:szCs w:val="28"/>
        </w:rPr>
      </w:pPr>
      <w:r>
        <w:rPr>
          <w:rFonts w:ascii="Times New Roman" w:hAnsi="Times New Roman"/>
          <w:b/>
          <w:bCs/>
          <w:sz w:val="28"/>
          <w:szCs w:val="28"/>
        </w:rPr>
        <w:lastRenderedPageBreak/>
        <w:t>CIPPS Overtime Calculation Methods</w:t>
      </w:r>
      <w:r>
        <w:rPr>
          <w:rFonts w:ascii="Times New Roman" w:hAnsi="Times New Roman"/>
          <w:b/>
          <w:sz w:val="28"/>
          <w:szCs w:val="28"/>
        </w:rPr>
        <w:t xml:space="preserve">, </w:t>
      </w:r>
      <w:r w:rsidRPr="00B65B4E">
        <w:rPr>
          <w:rFonts w:ascii="Times New Roman" w:hAnsi="Times New Roman"/>
          <w:sz w:val="28"/>
          <w:szCs w:val="28"/>
        </w:rPr>
        <w:t>continued</w:t>
      </w:r>
    </w:p>
    <w:p w:rsidR="00496B54" w:rsidRDefault="00496B54" w:rsidP="00496B54">
      <w:pPr>
        <w:pStyle w:val="BlockLine"/>
        <w:ind w:left="1620"/>
        <w:rPr>
          <w:sz w:val="16"/>
          <w:szCs w:val="16"/>
        </w:rPr>
      </w:pPr>
    </w:p>
    <w:tbl>
      <w:tblPr>
        <w:tblW w:w="9722" w:type="dxa"/>
        <w:tblLayout w:type="fixed"/>
        <w:tblLook w:val="0000"/>
      </w:tblPr>
      <w:tblGrid>
        <w:gridCol w:w="1649"/>
        <w:gridCol w:w="8073"/>
      </w:tblGrid>
      <w:tr w:rsidR="00496B54" w:rsidTr="00496B54">
        <w:trPr>
          <w:cantSplit/>
          <w:trHeight w:val="281"/>
        </w:trPr>
        <w:tc>
          <w:tcPr>
            <w:tcW w:w="1649" w:type="dxa"/>
          </w:tcPr>
          <w:p w:rsidR="00496B54" w:rsidRDefault="00496B54" w:rsidP="00496B54">
            <w:pPr>
              <w:pStyle w:val="Heading5"/>
            </w:pPr>
            <w:r>
              <w:rPr>
                <w:rFonts w:ascii="Times New Roman Bold" w:hAnsi="Times New Roman Bold"/>
                <w:bCs/>
                <w:sz w:val="24"/>
                <w:szCs w:val="24"/>
              </w:rPr>
              <w:t>Method #2 – Automatic Overtime Calculations for Shift Payments, continued</w:t>
            </w:r>
          </w:p>
        </w:tc>
        <w:tc>
          <w:tcPr>
            <w:tcW w:w="8073" w:type="dxa"/>
          </w:tcPr>
          <w:p w:rsidR="00496B54" w:rsidRPr="007638AF" w:rsidRDefault="00496B54" w:rsidP="00496B54">
            <w:pPr>
              <w:pStyle w:val="Default"/>
              <w:rPr>
                <w:b/>
              </w:rPr>
            </w:pPr>
            <w:r w:rsidRPr="007638AF">
              <w:rPr>
                <w:b/>
              </w:rPr>
              <w:t>A breakdown of the</w:t>
            </w:r>
            <w:r w:rsidR="00A53786" w:rsidRPr="007638AF">
              <w:rPr>
                <w:b/>
              </w:rPr>
              <w:t xml:space="preserve"> CIPPS</w:t>
            </w:r>
            <w:r w:rsidRPr="007638AF">
              <w:rPr>
                <w:b/>
              </w:rPr>
              <w:t xml:space="preserve"> transactions for each Work Week is shown below.  </w:t>
            </w:r>
          </w:p>
          <w:p w:rsidR="00496B54" w:rsidRPr="002C0958" w:rsidRDefault="00496B54" w:rsidP="00496B54">
            <w:pPr>
              <w:pStyle w:val="Default"/>
              <w:rPr>
                <w:b/>
                <w:sz w:val="16"/>
                <w:szCs w:val="16"/>
              </w:rPr>
            </w:pPr>
          </w:p>
          <w:p w:rsidR="00496B54" w:rsidRDefault="00496B54" w:rsidP="00496B54">
            <w:pPr>
              <w:pStyle w:val="Default"/>
            </w:pPr>
            <w:r w:rsidRPr="00FD14CC">
              <w:rPr>
                <w:b/>
              </w:rPr>
              <w:t xml:space="preserve">Work Week 1 – </w:t>
            </w:r>
            <w:r w:rsidR="0071647B" w:rsidRPr="0071647B">
              <w:t xml:space="preserve">The following </w:t>
            </w:r>
            <w:r w:rsidR="0071647B">
              <w:t xml:space="preserve">transactions should be </w:t>
            </w:r>
            <w:r w:rsidRPr="00FD14CC">
              <w:t>keyed</w:t>
            </w:r>
            <w:r w:rsidR="0071647B">
              <w:t xml:space="preserve"> on HUA03</w:t>
            </w:r>
            <w:r w:rsidRPr="00FD14CC">
              <w:t>:</w:t>
            </w:r>
          </w:p>
          <w:p w:rsidR="002C0958" w:rsidRPr="002C0958" w:rsidRDefault="002C0958" w:rsidP="00496B54">
            <w:pPr>
              <w:pStyle w:val="Default"/>
              <w:rPr>
                <w:sz w:val="16"/>
                <w:szCs w:val="16"/>
              </w:rPr>
            </w:pPr>
          </w:p>
          <w:p w:rsidR="00496B54" w:rsidRDefault="00496B54" w:rsidP="00496B54">
            <w:pPr>
              <w:pStyle w:val="Default"/>
              <w:rPr>
                <w:rFonts w:ascii="Calibri" w:hAnsi="Calibri"/>
              </w:rPr>
            </w:pPr>
            <w:r>
              <w:rPr>
                <w:rFonts w:ascii="Calibri" w:hAnsi="Calibri"/>
                <w:noProof/>
              </w:rPr>
              <w:drawing>
                <wp:inline distT="0" distB="0" distL="0" distR="0">
                  <wp:extent cx="4600575" cy="1249104"/>
                  <wp:effectExtent l="19050" t="0" r="952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600575" cy="1249104"/>
                          </a:xfrm>
                          <a:prstGeom prst="rect">
                            <a:avLst/>
                          </a:prstGeom>
                          <a:noFill/>
                          <a:ln w="9525">
                            <a:noFill/>
                            <a:miter lim="800000"/>
                            <a:headEnd/>
                            <a:tailEnd/>
                          </a:ln>
                        </pic:spPr>
                      </pic:pic>
                    </a:graphicData>
                  </a:graphic>
                </wp:inline>
              </w:drawing>
            </w:r>
          </w:p>
          <w:p w:rsidR="00496B54" w:rsidRDefault="00496B54" w:rsidP="00496B54">
            <w:pPr>
              <w:pStyle w:val="Default"/>
              <w:rPr>
                <w:rFonts w:ascii="Calibri" w:hAnsi="Calibri"/>
              </w:rPr>
            </w:pPr>
          </w:p>
          <w:p w:rsidR="00496B54" w:rsidRPr="00FD14CC" w:rsidRDefault="00496B54" w:rsidP="00496B54">
            <w:pPr>
              <w:pStyle w:val="Default"/>
              <w:numPr>
                <w:ilvl w:val="0"/>
                <w:numId w:val="10"/>
              </w:numPr>
            </w:pPr>
            <w:r w:rsidRPr="00FD14CC">
              <w:t>Transaction #1 will pay 16 hours of premium overtime at</w:t>
            </w:r>
            <w:r w:rsidR="00767B7A">
              <w:t xml:space="preserve"> the Shift 3 Rate provided the e</w:t>
            </w:r>
            <w:r w:rsidRPr="00FD14CC">
              <w:t xml:space="preserve">mployee </w:t>
            </w:r>
            <w:proofErr w:type="spellStart"/>
            <w:r w:rsidR="00767B7A">
              <w:t>m</w:t>
            </w:r>
            <w:r w:rsidRPr="00FD14CC">
              <w:t>asterfile</w:t>
            </w:r>
            <w:proofErr w:type="spellEnd"/>
            <w:r w:rsidRPr="00FD14CC">
              <w:t xml:space="preserve"> is established as shown at the beginning of this section.  All of the overtime hours are associated with the highest </w:t>
            </w:r>
            <w:r w:rsidR="004863ED">
              <w:t>s</w:t>
            </w:r>
            <w:r w:rsidRPr="00FD14CC">
              <w:t xml:space="preserve">hift </w:t>
            </w:r>
            <w:r w:rsidR="004863ED">
              <w:t>c</w:t>
            </w:r>
            <w:r w:rsidRPr="00FD14CC">
              <w:t>ode that was worked that week (Shift 3).</w:t>
            </w:r>
          </w:p>
          <w:p w:rsidR="00496B54" w:rsidRPr="00FD14CC" w:rsidRDefault="00496B54" w:rsidP="00496B54">
            <w:pPr>
              <w:pStyle w:val="Default"/>
              <w:numPr>
                <w:ilvl w:val="0"/>
                <w:numId w:val="10"/>
              </w:numPr>
            </w:pPr>
            <w:r w:rsidRPr="00FD14CC">
              <w:t xml:space="preserve">Transaction #2 will pay 38.8 hours for Shift 3.  No overtime was earned for those hours.  Notice that the original 54.3 hours of Shift 3 was offset by the 16 hours keyed in Transaction #1.  </w:t>
            </w:r>
          </w:p>
          <w:p w:rsidR="00496B54" w:rsidRDefault="00496B54" w:rsidP="00496B54">
            <w:pPr>
              <w:pStyle w:val="Default"/>
              <w:rPr>
                <w:rFonts w:ascii="Calibri" w:hAnsi="Calibri"/>
              </w:rPr>
            </w:pPr>
          </w:p>
          <w:p w:rsidR="002C0958" w:rsidRDefault="00496B54" w:rsidP="00496B54">
            <w:pPr>
              <w:pStyle w:val="Default"/>
            </w:pPr>
            <w:r w:rsidRPr="00FD14CC">
              <w:rPr>
                <w:b/>
              </w:rPr>
              <w:t xml:space="preserve">Work Week 2 – </w:t>
            </w:r>
            <w:r w:rsidR="0071647B" w:rsidRPr="0071647B">
              <w:t xml:space="preserve">The following </w:t>
            </w:r>
            <w:r w:rsidR="0071647B">
              <w:t xml:space="preserve">transactions should be </w:t>
            </w:r>
            <w:r w:rsidR="0071647B" w:rsidRPr="00FD14CC">
              <w:t>keyed</w:t>
            </w:r>
            <w:r w:rsidR="0071647B">
              <w:t xml:space="preserve"> on HUA03</w:t>
            </w:r>
            <w:r w:rsidR="0071647B" w:rsidRPr="00FD14CC">
              <w:t>:</w:t>
            </w:r>
          </w:p>
          <w:p w:rsidR="0071647B" w:rsidRPr="0071647B" w:rsidRDefault="0071647B" w:rsidP="00496B54">
            <w:pPr>
              <w:pStyle w:val="Default"/>
              <w:rPr>
                <w:sz w:val="16"/>
                <w:szCs w:val="16"/>
              </w:rPr>
            </w:pPr>
          </w:p>
          <w:p w:rsidR="00496B54" w:rsidRDefault="00496B54" w:rsidP="00496B54">
            <w:pPr>
              <w:pStyle w:val="Default"/>
              <w:rPr>
                <w:rFonts w:ascii="Calibri" w:hAnsi="Calibri"/>
              </w:rPr>
            </w:pPr>
            <w:r>
              <w:rPr>
                <w:rFonts w:ascii="Calibri" w:hAnsi="Calibri"/>
                <w:noProof/>
              </w:rPr>
              <w:drawing>
                <wp:inline distT="0" distB="0" distL="0" distR="0">
                  <wp:extent cx="4705350" cy="1016644"/>
                  <wp:effectExtent l="1905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4705350" cy="1016644"/>
                          </a:xfrm>
                          <a:prstGeom prst="rect">
                            <a:avLst/>
                          </a:prstGeom>
                          <a:noFill/>
                          <a:ln w="9525">
                            <a:noFill/>
                            <a:miter lim="800000"/>
                            <a:headEnd/>
                            <a:tailEnd/>
                          </a:ln>
                        </pic:spPr>
                      </pic:pic>
                    </a:graphicData>
                  </a:graphic>
                </wp:inline>
              </w:drawing>
            </w:r>
          </w:p>
          <w:p w:rsidR="00496B54" w:rsidRDefault="00496B54" w:rsidP="00496B54">
            <w:pPr>
              <w:pStyle w:val="Default"/>
              <w:rPr>
                <w:rFonts w:ascii="Calibri" w:hAnsi="Calibri"/>
              </w:rPr>
            </w:pPr>
          </w:p>
          <w:p w:rsidR="00496B54" w:rsidRPr="00FD14CC" w:rsidRDefault="00496B54" w:rsidP="00496B54">
            <w:pPr>
              <w:pStyle w:val="Default"/>
              <w:numPr>
                <w:ilvl w:val="0"/>
                <w:numId w:val="10"/>
              </w:numPr>
            </w:pPr>
            <w:r w:rsidRPr="00FD14CC">
              <w:t>Transaction #</w:t>
            </w:r>
            <w:r w:rsidR="00993EA1" w:rsidRPr="00FD14CC">
              <w:t>3</w:t>
            </w:r>
            <w:r w:rsidRPr="00FD14CC">
              <w:t xml:space="preserve"> will pay </w:t>
            </w:r>
            <w:r w:rsidR="00A53786" w:rsidRPr="00FD14CC">
              <w:t>8</w:t>
            </w:r>
            <w:r w:rsidRPr="00FD14CC">
              <w:t xml:space="preserve"> hours of premium overtime at the Shift </w:t>
            </w:r>
            <w:r w:rsidR="00A53786" w:rsidRPr="00FD14CC">
              <w:t>2</w:t>
            </w:r>
            <w:r w:rsidRPr="00FD14CC">
              <w:t xml:space="preserve"> Rate provided the </w:t>
            </w:r>
            <w:r w:rsidR="00DE752E">
              <w:t>e</w:t>
            </w:r>
            <w:r w:rsidRPr="00FD14CC">
              <w:t xml:space="preserve">mployee </w:t>
            </w:r>
            <w:proofErr w:type="spellStart"/>
            <w:r w:rsidR="00DE752E">
              <w:t>m</w:t>
            </w:r>
            <w:r w:rsidRPr="00FD14CC">
              <w:t>asterfile</w:t>
            </w:r>
            <w:proofErr w:type="spellEnd"/>
            <w:r w:rsidRPr="00FD14CC">
              <w:t xml:space="preserve"> is established as shown at the beginning of this section.  All of the overtime hours are associated with the highest </w:t>
            </w:r>
            <w:r w:rsidR="004863ED">
              <w:t>s</w:t>
            </w:r>
            <w:r w:rsidRPr="00FD14CC">
              <w:t xml:space="preserve">hift </w:t>
            </w:r>
            <w:r w:rsidR="004863ED">
              <w:t>c</w:t>
            </w:r>
            <w:r w:rsidRPr="00FD14CC">
              <w:t xml:space="preserve">ode that was worked that week (Shift </w:t>
            </w:r>
            <w:r w:rsidR="00A53786" w:rsidRPr="00FD14CC">
              <w:t>2</w:t>
            </w:r>
            <w:r w:rsidRPr="00FD14CC">
              <w:t>).</w:t>
            </w:r>
          </w:p>
          <w:p w:rsidR="00A53786" w:rsidRDefault="00A53786" w:rsidP="00A53786">
            <w:pPr>
              <w:pStyle w:val="Default"/>
              <w:ind w:left="720"/>
              <w:rPr>
                <w:rFonts w:ascii="Calibri" w:hAnsi="Calibri"/>
              </w:rPr>
            </w:pPr>
          </w:p>
          <w:p w:rsidR="00A53786" w:rsidRDefault="00A53786" w:rsidP="00A53786">
            <w:pPr>
              <w:pStyle w:val="Default"/>
            </w:pPr>
            <w:r w:rsidRPr="00FD14CC">
              <w:rPr>
                <w:b/>
              </w:rPr>
              <w:t xml:space="preserve">Work Week 3 – </w:t>
            </w:r>
            <w:r w:rsidR="0034607D" w:rsidRPr="0071647B">
              <w:t xml:space="preserve">The following </w:t>
            </w:r>
            <w:r w:rsidR="0034607D">
              <w:t xml:space="preserve">transactions should be </w:t>
            </w:r>
            <w:r w:rsidR="0034607D" w:rsidRPr="00FD14CC">
              <w:t>keyed</w:t>
            </w:r>
            <w:r w:rsidR="0034607D">
              <w:t xml:space="preserve"> on HUA03</w:t>
            </w:r>
            <w:r w:rsidR="0034607D" w:rsidRPr="00FD14CC">
              <w:t>:</w:t>
            </w:r>
          </w:p>
          <w:p w:rsidR="0034607D" w:rsidRPr="0034607D" w:rsidRDefault="0034607D" w:rsidP="00A53786">
            <w:pPr>
              <w:pStyle w:val="Default"/>
              <w:rPr>
                <w:sz w:val="16"/>
                <w:szCs w:val="16"/>
              </w:rPr>
            </w:pPr>
          </w:p>
          <w:p w:rsidR="00A53786" w:rsidRDefault="00A53786" w:rsidP="00A53786">
            <w:pPr>
              <w:pStyle w:val="Default"/>
              <w:rPr>
                <w:rFonts w:ascii="Calibri" w:hAnsi="Calibri"/>
              </w:rPr>
            </w:pPr>
            <w:r>
              <w:rPr>
                <w:rFonts w:ascii="Calibri" w:hAnsi="Calibri"/>
                <w:noProof/>
              </w:rPr>
              <w:drawing>
                <wp:inline distT="0" distB="0" distL="0" distR="0">
                  <wp:extent cx="4981575" cy="1076325"/>
                  <wp:effectExtent l="19050" t="0" r="9525"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4981575" cy="1076325"/>
                          </a:xfrm>
                          <a:prstGeom prst="rect">
                            <a:avLst/>
                          </a:prstGeom>
                          <a:noFill/>
                          <a:ln w="9525">
                            <a:noFill/>
                            <a:miter lim="800000"/>
                            <a:headEnd/>
                            <a:tailEnd/>
                          </a:ln>
                        </pic:spPr>
                      </pic:pic>
                    </a:graphicData>
                  </a:graphic>
                </wp:inline>
              </w:drawing>
            </w:r>
          </w:p>
          <w:p w:rsidR="00993EA1" w:rsidRDefault="00993EA1" w:rsidP="00993EA1">
            <w:pPr>
              <w:pStyle w:val="Default"/>
              <w:rPr>
                <w:rFonts w:ascii="Calibri" w:hAnsi="Calibri"/>
              </w:rPr>
            </w:pPr>
          </w:p>
          <w:p w:rsidR="00496B54" w:rsidRPr="00FD14CC" w:rsidRDefault="00993EA1" w:rsidP="00653F32">
            <w:pPr>
              <w:pStyle w:val="Default"/>
              <w:numPr>
                <w:ilvl w:val="0"/>
                <w:numId w:val="10"/>
              </w:numPr>
            </w:pPr>
            <w:r w:rsidRPr="00FD14CC">
              <w:t xml:space="preserve">Transaction #4 will pay 15.8 </w:t>
            </w:r>
            <w:r w:rsidR="00653F32">
              <w:t>h</w:t>
            </w:r>
            <w:r w:rsidRPr="00FD14CC">
              <w:t xml:space="preserve">ours of </w:t>
            </w:r>
            <w:r w:rsidR="00653F32">
              <w:t>o</w:t>
            </w:r>
            <w:r w:rsidRPr="00FD14CC">
              <w:t xml:space="preserve">vertime at the </w:t>
            </w:r>
            <w:r w:rsidR="00653F32">
              <w:t>r</w:t>
            </w:r>
            <w:r w:rsidRPr="00FD14CC">
              <w:t xml:space="preserve">egular </w:t>
            </w:r>
            <w:r w:rsidR="00653F32">
              <w:t>rate of pay – no s</w:t>
            </w:r>
            <w:r w:rsidRPr="00FD14CC">
              <w:t xml:space="preserve">hift </w:t>
            </w:r>
            <w:r w:rsidR="00653F32">
              <w:t>h</w:t>
            </w:r>
            <w:r w:rsidRPr="00FD14CC">
              <w:t>ours were worked during that work week.</w:t>
            </w:r>
          </w:p>
        </w:tc>
      </w:tr>
    </w:tbl>
    <w:p w:rsidR="0096387B" w:rsidRPr="00EA3AF9" w:rsidRDefault="0096387B" w:rsidP="0096387B">
      <w:pPr>
        <w:tabs>
          <w:tab w:val="left" w:pos="3402"/>
        </w:tabs>
        <w:rPr>
          <w:sz w:val="16"/>
          <w:szCs w:val="16"/>
        </w:rPr>
      </w:pPr>
    </w:p>
    <w:p w:rsidR="0096387B" w:rsidRPr="00544B0B" w:rsidRDefault="0096387B" w:rsidP="0096387B">
      <w:pPr>
        <w:pStyle w:val="BlockLine"/>
        <w:spacing w:before="0"/>
        <w:ind w:left="1354"/>
        <w:jc w:val="right"/>
        <w:rPr>
          <w:i/>
          <w:sz w:val="20"/>
        </w:rPr>
      </w:pPr>
      <w:r>
        <w:rPr>
          <w:i/>
          <w:sz w:val="20"/>
        </w:rPr>
        <w:t>Continued on next page</w:t>
      </w:r>
    </w:p>
    <w:p w:rsidR="00A04881" w:rsidRDefault="0096387B" w:rsidP="007638AF">
      <w:pPr>
        <w:rPr>
          <w:b/>
          <w:sz w:val="28"/>
          <w:szCs w:val="28"/>
        </w:rPr>
      </w:pPr>
      <w:r>
        <w:rPr>
          <w:b/>
          <w:bCs/>
          <w:sz w:val="28"/>
          <w:szCs w:val="28"/>
        </w:rPr>
        <w:br w:type="page"/>
      </w:r>
      <w:r w:rsidR="00A04881">
        <w:rPr>
          <w:b/>
          <w:bCs/>
          <w:sz w:val="28"/>
          <w:szCs w:val="28"/>
        </w:rPr>
        <w:lastRenderedPageBreak/>
        <w:t>CIPPS Overtime Calculation Methods</w:t>
      </w:r>
      <w:r w:rsidR="00A04881">
        <w:rPr>
          <w:b/>
          <w:sz w:val="28"/>
          <w:szCs w:val="28"/>
        </w:rPr>
        <w:t xml:space="preserve">, </w:t>
      </w:r>
      <w:r w:rsidR="00A04881" w:rsidRPr="00B65B4E">
        <w:rPr>
          <w:sz w:val="28"/>
          <w:szCs w:val="28"/>
        </w:rPr>
        <w:t>continued</w:t>
      </w:r>
    </w:p>
    <w:p w:rsidR="00A04881" w:rsidRDefault="00A04881" w:rsidP="00A04881">
      <w:pPr>
        <w:pStyle w:val="BlockLine"/>
        <w:ind w:left="1620"/>
        <w:rPr>
          <w:sz w:val="16"/>
          <w:szCs w:val="16"/>
        </w:rPr>
      </w:pPr>
    </w:p>
    <w:tbl>
      <w:tblPr>
        <w:tblW w:w="9722" w:type="dxa"/>
        <w:tblLayout w:type="fixed"/>
        <w:tblLook w:val="0000"/>
      </w:tblPr>
      <w:tblGrid>
        <w:gridCol w:w="1649"/>
        <w:gridCol w:w="8073"/>
      </w:tblGrid>
      <w:tr w:rsidR="00A04881" w:rsidTr="00A04881">
        <w:trPr>
          <w:cantSplit/>
          <w:trHeight w:val="281"/>
        </w:trPr>
        <w:tc>
          <w:tcPr>
            <w:tcW w:w="1649" w:type="dxa"/>
          </w:tcPr>
          <w:p w:rsidR="00A04881" w:rsidRDefault="00A04881" w:rsidP="00A04881">
            <w:pPr>
              <w:pStyle w:val="Heading5"/>
            </w:pPr>
            <w:r>
              <w:rPr>
                <w:rFonts w:ascii="Times New Roman Bold" w:hAnsi="Times New Roman Bold"/>
                <w:bCs/>
                <w:sz w:val="24"/>
                <w:szCs w:val="24"/>
              </w:rPr>
              <w:t>Method #2 – Automatic Overtime Calculations for Shift Payments, continued</w:t>
            </w:r>
          </w:p>
        </w:tc>
        <w:tc>
          <w:tcPr>
            <w:tcW w:w="8073" w:type="dxa"/>
          </w:tcPr>
          <w:p w:rsidR="00A04881" w:rsidRPr="00A954A1" w:rsidRDefault="00A04881" w:rsidP="00A04881">
            <w:pPr>
              <w:pStyle w:val="Default"/>
              <w:rPr>
                <w:b/>
              </w:rPr>
            </w:pPr>
            <w:r w:rsidRPr="00A954A1">
              <w:rPr>
                <w:b/>
              </w:rPr>
              <w:t xml:space="preserve">A summary of the 4 transactions keyed </w:t>
            </w:r>
            <w:r w:rsidR="004F5988" w:rsidRPr="00A954A1">
              <w:rPr>
                <w:b/>
              </w:rPr>
              <w:t>is</w:t>
            </w:r>
            <w:r w:rsidRPr="00A954A1">
              <w:rPr>
                <w:b/>
              </w:rPr>
              <w:t xml:space="preserve"> shown below:</w:t>
            </w:r>
          </w:p>
          <w:p w:rsidR="00A04881" w:rsidRDefault="00A04881" w:rsidP="00A04881">
            <w:pPr>
              <w:pStyle w:val="Default"/>
              <w:rPr>
                <w:rFonts w:ascii="Calibri" w:hAnsi="Calibri"/>
              </w:rPr>
            </w:pPr>
          </w:p>
          <w:p w:rsidR="00A04881" w:rsidRDefault="00A04881" w:rsidP="00A04881">
            <w:pPr>
              <w:pStyle w:val="Default"/>
              <w:rPr>
                <w:rFonts w:ascii="Calibri" w:hAnsi="Calibri"/>
              </w:rPr>
            </w:pPr>
            <w:r>
              <w:rPr>
                <w:rFonts w:ascii="Calibri" w:hAnsi="Calibri"/>
                <w:noProof/>
              </w:rPr>
              <w:drawing>
                <wp:inline distT="0" distB="0" distL="0" distR="0">
                  <wp:extent cx="4981575" cy="1885950"/>
                  <wp:effectExtent l="19050" t="0" r="9525"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4981575" cy="1885950"/>
                          </a:xfrm>
                          <a:prstGeom prst="rect">
                            <a:avLst/>
                          </a:prstGeom>
                          <a:noFill/>
                          <a:ln w="9525">
                            <a:noFill/>
                            <a:miter lim="800000"/>
                            <a:headEnd/>
                            <a:tailEnd/>
                          </a:ln>
                        </pic:spPr>
                      </pic:pic>
                    </a:graphicData>
                  </a:graphic>
                </wp:inline>
              </w:drawing>
            </w:r>
          </w:p>
          <w:p w:rsidR="00A04881" w:rsidRDefault="00A04881" w:rsidP="00A04881">
            <w:pPr>
              <w:pStyle w:val="Default"/>
              <w:rPr>
                <w:rFonts w:ascii="Calibri" w:hAnsi="Calibri"/>
              </w:rPr>
            </w:pPr>
          </w:p>
          <w:p w:rsidR="00A04881" w:rsidRPr="00A954A1" w:rsidRDefault="00A04881" w:rsidP="00A04881">
            <w:pPr>
              <w:pStyle w:val="Default"/>
              <w:rPr>
                <w:b/>
              </w:rPr>
            </w:pPr>
            <w:r w:rsidRPr="00A954A1">
              <w:rPr>
                <w:b/>
              </w:rPr>
              <w:t>CIPPS will calculate the transactions keyed above as shown below:</w:t>
            </w:r>
          </w:p>
          <w:p w:rsidR="00A04881" w:rsidRDefault="00A04881" w:rsidP="00A04881">
            <w:pPr>
              <w:pStyle w:val="Default"/>
              <w:rPr>
                <w:rFonts w:ascii="Calibri" w:hAnsi="Calibri"/>
              </w:rPr>
            </w:pPr>
          </w:p>
          <w:p w:rsidR="00A04881" w:rsidRDefault="00A04881" w:rsidP="00A04881">
            <w:pPr>
              <w:pStyle w:val="Default"/>
              <w:rPr>
                <w:rFonts w:ascii="Calibri" w:hAnsi="Calibri"/>
              </w:rPr>
            </w:pPr>
            <w:r>
              <w:rPr>
                <w:rFonts w:ascii="Calibri" w:hAnsi="Calibri"/>
                <w:noProof/>
              </w:rPr>
              <w:drawing>
                <wp:inline distT="0" distB="0" distL="0" distR="0">
                  <wp:extent cx="4991100" cy="3590925"/>
                  <wp:effectExtent l="1905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4991100" cy="3590925"/>
                          </a:xfrm>
                          <a:prstGeom prst="rect">
                            <a:avLst/>
                          </a:prstGeom>
                          <a:noFill/>
                          <a:ln w="9525">
                            <a:noFill/>
                            <a:miter lim="800000"/>
                            <a:headEnd/>
                            <a:tailEnd/>
                          </a:ln>
                        </pic:spPr>
                      </pic:pic>
                    </a:graphicData>
                  </a:graphic>
                </wp:inline>
              </w:drawing>
            </w:r>
          </w:p>
          <w:p w:rsidR="00A04881" w:rsidRDefault="00A04881" w:rsidP="00A04881">
            <w:pPr>
              <w:pStyle w:val="Default"/>
              <w:rPr>
                <w:rFonts w:ascii="Calibri" w:hAnsi="Calibri"/>
              </w:rPr>
            </w:pPr>
          </w:p>
          <w:p w:rsidR="00A04881" w:rsidRPr="000A1654" w:rsidRDefault="00A04881" w:rsidP="00041030">
            <w:pPr>
              <w:pStyle w:val="Default"/>
            </w:pPr>
            <w:r w:rsidRPr="000A1654">
              <w:t xml:space="preserve">NOTE:  </w:t>
            </w:r>
            <w:r w:rsidR="00020DE5" w:rsidRPr="000A1654">
              <w:t xml:space="preserve">When </w:t>
            </w:r>
            <w:r w:rsidR="00041030">
              <w:t xml:space="preserve">each work week was manually </w:t>
            </w:r>
            <w:r w:rsidR="00020DE5" w:rsidRPr="000A1654">
              <w:t xml:space="preserve">calculated </w:t>
            </w:r>
            <w:r w:rsidR="00041030">
              <w:t>at</w:t>
            </w:r>
            <w:r w:rsidR="00020DE5" w:rsidRPr="000A1654">
              <w:t xml:space="preserve"> the beginning of this section, </w:t>
            </w:r>
            <w:r w:rsidR="00041030">
              <w:t xml:space="preserve">the </w:t>
            </w:r>
            <w:r w:rsidR="00020DE5" w:rsidRPr="000A1654">
              <w:t>total due for all three work weeks</w:t>
            </w:r>
            <w:r w:rsidR="00041030">
              <w:t xml:space="preserve"> was </w:t>
            </w:r>
            <w:r w:rsidR="00041030" w:rsidRPr="000A1654">
              <w:t>$584.37</w:t>
            </w:r>
            <w:r w:rsidR="00020DE5" w:rsidRPr="000A1654">
              <w:t xml:space="preserve">.  (Week 1 - $239.36; Week 2 - $116.30 and Week 3 - $228.71).  Using Method #2, CIPPS calculated the total overtime payment as $587.37.  The </w:t>
            </w:r>
            <w:r w:rsidR="00956875" w:rsidRPr="000A1654">
              <w:t>minimal</w:t>
            </w:r>
            <w:r w:rsidR="00020DE5" w:rsidRPr="000A1654">
              <w:t xml:space="preserve"> extra cost associated with this method is </w:t>
            </w:r>
            <w:r w:rsidR="00041030">
              <w:t xml:space="preserve">offset by </w:t>
            </w:r>
            <w:r w:rsidR="00020DE5" w:rsidRPr="000A1654">
              <w:t xml:space="preserve">the </w:t>
            </w:r>
            <w:r w:rsidR="00041030">
              <w:t xml:space="preserve">savings in </w:t>
            </w:r>
            <w:r w:rsidR="00020DE5" w:rsidRPr="000A1654">
              <w:t xml:space="preserve">administrative costs </w:t>
            </w:r>
            <w:r w:rsidR="00BF7F91" w:rsidRPr="000A1654">
              <w:t xml:space="preserve">and risks </w:t>
            </w:r>
            <w:r w:rsidR="00020DE5" w:rsidRPr="000A1654">
              <w:t>associated with manual computations.</w:t>
            </w:r>
          </w:p>
        </w:tc>
      </w:tr>
    </w:tbl>
    <w:p w:rsidR="0096387B" w:rsidRPr="00EA3AF9" w:rsidRDefault="0096387B" w:rsidP="0096387B">
      <w:pPr>
        <w:tabs>
          <w:tab w:val="left" w:pos="3402"/>
        </w:tabs>
        <w:rPr>
          <w:sz w:val="16"/>
          <w:szCs w:val="16"/>
        </w:rPr>
      </w:pPr>
    </w:p>
    <w:p w:rsidR="0096387B" w:rsidRPr="00544B0B" w:rsidRDefault="0096387B" w:rsidP="0096387B">
      <w:pPr>
        <w:pStyle w:val="BlockLine"/>
        <w:spacing w:before="0"/>
        <w:ind w:left="1354"/>
        <w:jc w:val="right"/>
        <w:rPr>
          <w:i/>
          <w:sz w:val="20"/>
        </w:rPr>
      </w:pPr>
      <w:r>
        <w:rPr>
          <w:i/>
          <w:sz w:val="20"/>
        </w:rPr>
        <w:t>Continued on next page</w:t>
      </w:r>
    </w:p>
    <w:p w:rsidR="0096387B" w:rsidRDefault="0096387B" w:rsidP="00402FDF">
      <w:pPr>
        <w:pStyle w:val="Heading4"/>
        <w:spacing w:after="0"/>
        <w:rPr>
          <w:rFonts w:ascii="Times New Roman" w:hAnsi="Times New Roman"/>
          <w:b/>
          <w:bCs/>
          <w:sz w:val="28"/>
          <w:szCs w:val="28"/>
        </w:rPr>
      </w:pPr>
    </w:p>
    <w:p w:rsidR="0096387B" w:rsidRDefault="0096387B" w:rsidP="0096387B">
      <w:r>
        <w:br w:type="page"/>
      </w:r>
    </w:p>
    <w:p w:rsidR="00402FDF" w:rsidRDefault="00402FDF" w:rsidP="00402FDF">
      <w:pPr>
        <w:pStyle w:val="Heading4"/>
        <w:spacing w:after="0"/>
        <w:rPr>
          <w:rFonts w:ascii="Times New Roman" w:hAnsi="Times New Roman"/>
          <w:b/>
          <w:sz w:val="28"/>
          <w:szCs w:val="28"/>
        </w:rPr>
      </w:pPr>
      <w:r>
        <w:rPr>
          <w:rFonts w:ascii="Times New Roman" w:hAnsi="Times New Roman"/>
          <w:b/>
          <w:bCs/>
          <w:sz w:val="28"/>
          <w:szCs w:val="28"/>
        </w:rPr>
        <w:lastRenderedPageBreak/>
        <w:t>CIPPS Overtime Calculation Methods</w:t>
      </w:r>
      <w:r>
        <w:rPr>
          <w:rFonts w:ascii="Times New Roman" w:hAnsi="Times New Roman"/>
          <w:b/>
          <w:sz w:val="28"/>
          <w:szCs w:val="28"/>
        </w:rPr>
        <w:t xml:space="preserve">, </w:t>
      </w:r>
      <w:r w:rsidRPr="00B65B4E">
        <w:rPr>
          <w:rFonts w:ascii="Times New Roman" w:hAnsi="Times New Roman"/>
          <w:sz w:val="28"/>
          <w:szCs w:val="28"/>
        </w:rPr>
        <w:t>continued</w:t>
      </w:r>
    </w:p>
    <w:p w:rsidR="00402FDF" w:rsidRDefault="00402FDF" w:rsidP="00402FDF">
      <w:pPr>
        <w:pStyle w:val="BlockLine"/>
        <w:ind w:left="1620"/>
        <w:rPr>
          <w:sz w:val="16"/>
          <w:szCs w:val="16"/>
        </w:rPr>
      </w:pPr>
    </w:p>
    <w:tbl>
      <w:tblPr>
        <w:tblW w:w="9722" w:type="dxa"/>
        <w:tblLayout w:type="fixed"/>
        <w:tblLook w:val="0000"/>
      </w:tblPr>
      <w:tblGrid>
        <w:gridCol w:w="1649"/>
        <w:gridCol w:w="8073"/>
      </w:tblGrid>
      <w:tr w:rsidR="00402FDF" w:rsidTr="00A541D6">
        <w:trPr>
          <w:cantSplit/>
          <w:trHeight w:val="281"/>
        </w:trPr>
        <w:tc>
          <w:tcPr>
            <w:tcW w:w="1649" w:type="dxa"/>
          </w:tcPr>
          <w:p w:rsidR="00402FDF" w:rsidRDefault="002337E5" w:rsidP="00AE70D1">
            <w:pPr>
              <w:pStyle w:val="Heading5"/>
            </w:pPr>
            <w:r>
              <w:t>Calculating Overtime for Employees Receiving Multiple Rates of Pay</w:t>
            </w:r>
          </w:p>
        </w:tc>
        <w:tc>
          <w:tcPr>
            <w:tcW w:w="8073" w:type="dxa"/>
          </w:tcPr>
          <w:p w:rsidR="002337E5" w:rsidRPr="000A1654" w:rsidRDefault="00491735" w:rsidP="002337E5">
            <w:pPr>
              <w:pStyle w:val="Default"/>
            </w:pPr>
            <w:r>
              <w:t>C</w:t>
            </w:r>
            <w:r w:rsidRPr="000A1654">
              <w:t xml:space="preserve">onsider the following </w:t>
            </w:r>
            <w:r>
              <w:t xml:space="preserve">for </w:t>
            </w:r>
            <w:r w:rsidR="002337E5" w:rsidRPr="000A1654">
              <w:t>employees who</w:t>
            </w:r>
            <w:r w:rsidRPr="000A1654">
              <w:t xml:space="preserve"> received multiple rates </w:t>
            </w:r>
            <w:r>
              <w:t xml:space="preserve">of pay </w:t>
            </w:r>
            <w:r w:rsidRPr="000A1654">
              <w:t>for different types of work</w:t>
            </w:r>
            <w:r>
              <w:t xml:space="preserve"> and are owed o</w:t>
            </w:r>
            <w:r w:rsidR="002337E5" w:rsidRPr="000A1654">
              <w:t xml:space="preserve">vertime </w:t>
            </w:r>
            <w:r>
              <w:t xml:space="preserve">for that </w:t>
            </w:r>
            <w:r w:rsidR="002337E5" w:rsidRPr="000A1654">
              <w:t>work cycle</w:t>
            </w:r>
            <w:r>
              <w:t>:</w:t>
            </w:r>
            <w:r w:rsidR="002337E5" w:rsidRPr="000A1654">
              <w:t xml:space="preserve"> </w:t>
            </w:r>
          </w:p>
          <w:p w:rsidR="002337E5" w:rsidRPr="000A1654" w:rsidRDefault="002337E5" w:rsidP="002337E5">
            <w:pPr>
              <w:pStyle w:val="Default"/>
            </w:pPr>
          </w:p>
          <w:p w:rsidR="00402FDF" w:rsidRPr="000A1654" w:rsidRDefault="002337E5" w:rsidP="002337E5">
            <w:pPr>
              <w:pStyle w:val="Default"/>
              <w:numPr>
                <w:ilvl w:val="0"/>
                <w:numId w:val="10"/>
              </w:numPr>
            </w:pPr>
            <w:r w:rsidRPr="000A1654">
              <w:t xml:space="preserve">Method #1 will not work for this situation.  </w:t>
            </w:r>
            <w:r w:rsidR="00544BF0">
              <w:t>T</w:t>
            </w:r>
            <w:r w:rsidRPr="000A1654">
              <w:t xml:space="preserve">he hours for the second job </w:t>
            </w:r>
            <w:r w:rsidR="00544BF0">
              <w:t xml:space="preserve">could be keyed </w:t>
            </w:r>
            <w:r w:rsidRPr="000A1654">
              <w:t>to a different special pay on the employee’s record</w:t>
            </w:r>
            <w:r w:rsidR="00544BF0">
              <w:t xml:space="preserve">; </w:t>
            </w:r>
            <w:r w:rsidRPr="000A1654">
              <w:t>however</w:t>
            </w:r>
            <w:r w:rsidR="00544BF0">
              <w:t>,</w:t>
            </w:r>
            <w:r w:rsidRPr="000A1654">
              <w:t xml:space="preserve"> Method #1 only works if the Special Pay has no hours associated with it.  </w:t>
            </w:r>
          </w:p>
          <w:p w:rsidR="00CD2A66" w:rsidRDefault="002337E5" w:rsidP="002337E5">
            <w:pPr>
              <w:pStyle w:val="Default"/>
              <w:numPr>
                <w:ilvl w:val="0"/>
                <w:numId w:val="10"/>
              </w:numPr>
            </w:pPr>
            <w:r w:rsidRPr="000A1654">
              <w:t xml:space="preserve">Method #2 </w:t>
            </w:r>
            <w:r w:rsidR="0087550D">
              <w:t xml:space="preserve">may be used </w:t>
            </w:r>
            <w:r w:rsidRPr="000A1654">
              <w:t>for this situation.  If the employee has a different pay rate when they perform a different type of work, simply key the additional amount they are paid as a Shift 2 or Shift 3 differential.</w:t>
            </w:r>
            <w:r w:rsidR="00A541D6" w:rsidRPr="000A1654">
              <w:t xml:space="preserve">  </w:t>
            </w:r>
            <w:r w:rsidR="00190E5A">
              <w:t xml:space="preserve">For example, </w:t>
            </w:r>
            <w:r w:rsidR="00FD20FC">
              <w:t>a salaried</w:t>
            </w:r>
            <w:r w:rsidR="00190E5A">
              <w:t xml:space="preserve"> employee is paid $10 per hour on one job, but receives $15 per</w:t>
            </w:r>
            <w:r w:rsidR="00CD2A66">
              <w:t xml:space="preserve"> hour on the second job.  Set up the H0BID screen with the employee’s regular </w:t>
            </w:r>
            <w:r w:rsidR="00FD20FC">
              <w:t>salary</w:t>
            </w:r>
            <w:r w:rsidR="00CD2A66">
              <w:t xml:space="preserve"> amount (</w:t>
            </w:r>
            <w:r w:rsidR="00FD20FC">
              <w:t>$866.70 Semi-Monthly</w:t>
            </w:r>
            <w:r w:rsidR="00CD2A66">
              <w:t xml:space="preserve">) then </w:t>
            </w:r>
            <w:r w:rsidR="00870B39">
              <w:t xml:space="preserve">key the additional amount of $5 </w:t>
            </w:r>
            <w:r w:rsidR="00FD20FC">
              <w:t>as</w:t>
            </w:r>
            <w:r w:rsidR="00870B39">
              <w:t xml:space="preserve"> the </w:t>
            </w:r>
            <w:r w:rsidR="00FD20FC">
              <w:t>Shift 2 Premium on screen H0BBN:</w:t>
            </w:r>
          </w:p>
          <w:p w:rsidR="00CD2A66" w:rsidRDefault="00CD2A66" w:rsidP="00CD2A66">
            <w:pPr>
              <w:pStyle w:val="Default"/>
              <w:ind w:left="720"/>
            </w:pPr>
            <w:r>
              <w:rPr>
                <w:noProof/>
              </w:rPr>
              <w:drawing>
                <wp:inline distT="0" distB="0" distL="0" distR="0">
                  <wp:extent cx="4486275" cy="1171575"/>
                  <wp:effectExtent l="1905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t="25903"/>
                          <a:stretch>
                            <a:fillRect/>
                          </a:stretch>
                        </pic:blipFill>
                        <pic:spPr bwMode="auto">
                          <a:xfrm>
                            <a:off x="0" y="0"/>
                            <a:ext cx="4486275" cy="1171575"/>
                          </a:xfrm>
                          <a:prstGeom prst="rect">
                            <a:avLst/>
                          </a:prstGeom>
                          <a:noFill/>
                          <a:ln w="9525">
                            <a:noFill/>
                            <a:miter lim="800000"/>
                            <a:headEnd/>
                            <a:tailEnd/>
                          </a:ln>
                        </pic:spPr>
                      </pic:pic>
                    </a:graphicData>
                  </a:graphic>
                </wp:inline>
              </w:drawing>
            </w:r>
          </w:p>
          <w:p w:rsidR="00CD2A66" w:rsidRDefault="00CD2A66" w:rsidP="00CD2A66">
            <w:pPr>
              <w:pStyle w:val="Default"/>
              <w:ind w:left="720"/>
            </w:pPr>
          </w:p>
          <w:p w:rsidR="00FD20FC" w:rsidRDefault="00FD20FC" w:rsidP="00CD2A66">
            <w:pPr>
              <w:pStyle w:val="Default"/>
              <w:ind w:left="720"/>
            </w:pPr>
            <w:r>
              <w:t>If the employee worked 45 hours during a Work Cycle and 8 hours were worked at the $15 per hour rate, key the transactions on HUA03 as shown below:</w:t>
            </w:r>
            <w:r>
              <w:rPr>
                <w:noProof/>
              </w:rPr>
              <w:drawing>
                <wp:inline distT="0" distB="0" distL="0" distR="0">
                  <wp:extent cx="4667250" cy="1143000"/>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t="24529"/>
                          <a:stretch>
                            <a:fillRect/>
                          </a:stretch>
                        </pic:blipFill>
                        <pic:spPr bwMode="auto">
                          <a:xfrm>
                            <a:off x="0" y="0"/>
                            <a:ext cx="4667250" cy="1143000"/>
                          </a:xfrm>
                          <a:prstGeom prst="rect">
                            <a:avLst/>
                          </a:prstGeom>
                          <a:noFill/>
                          <a:ln w="9525">
                            <a:noFill/>
                            <a:miter lim="800000"/>
                            <a:headEnd/>
                            <a:tailEnd/>
                          </a:ln>
                        </pic:spPr>
                      </pic:pic>
                    </a:graphicData>
                  </a:graphic>
                </wp:inline>
              </w:drawing>
            </w:r>
          </w:p>
          <w:p w:rsidR="00870B39" w:rsidRDefault="00870B39" w:rsidP="00CD2A66">
            <w:pPr>
              <w:pStyle w:val="Default"/>
              <w:ind w:left="720"/>
            </w:pPr>
          </w:p>
          <w:p w:rsidR="00694DC5" w:rsidRDefault="00D371F2" w:rsidP="00694DC5">
            <w:pPr>
              <w:pStyle w:val="Default"/>
              <w:ind w:left="720"/>
            </w:pPr>
            <w:r>
              <w:t xml:space="preserve">The employee </w:t>
            </w:r>
            <w:r w:rsidR="00BE2080">
              <w:t xml:space="preserve">automatically </w:t>
            </w:r>
            <w:r w:rsidR="005E6CAD">
              <w:t>receives</w:t>
            </w:r>
            <w:r>
              <w:t xml:space="preserve"> $10 for each hour worked in the base rate according to H0BID.  </w:t>
            </w:r>
            <w:r w:rsidR="005E6CAD">
              <w:t xml:space="preserve">The transactions </w:t>
            </w:r>
            <w:r w:rsidR="00BE2080">
              <w:t xml:space="preserve">above </w:t>
            </w:r>
            <w:r w:rsidR="005E6CAD">
              <w:t xml:space="preserve">will pay the employee a total of $40 dollars for the 8 hours worked at the additional </w:t>
            </w:r>
            <w:r w:rsidR="00BE2080">
              <w:t xml:space="preserve">$5 </w:t>
            </w:r>
            <w:r w:rsidR="005E6CAD">
              <w:t>rate</w:t>
            </w:r>
            <w:r>
              <w:t xml:space="preserve">.  </w:t>
            </w:r>
            <w:r w:rsidR="00BE2080">
              <w:t>Also</w:t>
            </w:r>
            <w:r w:rsidR="005E6CAD">
              <w:t>, the employee will receive $12.50 for the premium</w:t>
            </w:r>
            <w:r w:rsidR="00BE2080">
              <w:t xml:space="preserve"> </w:t>
            </w:r>
            <w:r w:rsidR="005E6CAD">
              <w:t>overtime (rate of $2.50 per hour) on the 5 hours of</w:t>
            </w:r>
            <w:r w:rsidR="00BE2080">
              <w:t xml:space="preserve"> overtime for Shift 2</w:t>
            </w:r>
            <w:r w:rsidR="005E6CAD">
              <w:t xml:space="preserve">.  </w:t>
            </w:r>
            <w:r>
              <w:t xml:space="preserve">$52.50 </w:t>
            </w:r>
            <w:r w:rsidR="00BE2080">
              <w:t xml:space="preserve">will be received </w:t>
            </w:r>
            <w:r w:rsidR="005E6CAD">
              <w:t>i</w:t>
            </w:r>
            <w:r>
              <w:t>n the Shift 2 Pay amount.</w:t>
            </w:r>
            <w:r w:rsidR="005E6CAD">
              <w:t xml:space="preserve">  $75.00 </w:t>
            </w:r>
            <w:r w:rsidR="00BE2080">
              <w:t xml:space="preserve">will be </w:t>
            </w:r>
            <w:r w:rsidR="005E6CAD">
              <w:t xml:space="preserve">in the Overtime amount for the </w:t>
            </w:r>
            <w:r w:rsidR="00BE2080">
              <w:t xml:space="preserve">premium </w:t>
            </w:r>
            <w:r w:rsidR="00694DC5">
              <w:t>overtime due on the base rate of $10.</w:t>
            </w:r>
          </w:p>
          <w:p w:rsidR="00694DC5" w:rsidRDefault="00694DC5" w:rsidP="00694DC5">
            <w:pPr>
              <w:pStyle w:val="Default"/>
              <w:ind w:left="720"/>
            </w:pPr>
          </w:p>
          <w:p w:rsidR="002337E5" w:rsidRDefault="00A541D6" w:rsidP="00694DC5">
            <w:pPr>
              <w:pStyle w:val="Default"/>
              <w:ind w:left="720"/>
            </w:pPr>
            <w:r w:rsidRPr="000A1654">
              <w:t xml:space="preserve">If Method #2 is used, only the additional amount charged for the shift </w:t>
            </w:r>
            <w:r w:rsidR="00D371F2">
              <w:t xml:space="preserve">(in the example above $52.50) </w:t>
            </w:r>
            <w:r w:rsidRPr="000A1654">
              <w:t xml:space="preserve">will be charged to the </w:t>
            </w:r>
            <w:r w:rsidR="00544BF0">
              <w:t>g</w:t>
            </w:r>
            <w:r w:rsidRPr="000A1654">
              <w:t xml:space="preserve">eneral </w:t>
            </w:r>
            <w:r w:rsidR="00544BF0">
              <w:t>l</w:t>
            </w:r>
            <w:r w:rsidRPr="000A1654">
              <w:t>edger coding  established on HMBU1 for Pay Type 0S2 (Shift 2) or 0S3 (Shift 3).</w:t>
            </w:r>
          </w:p>
          <w:p w:rsidR="00190E5A" w:rsidRPr="000A1654" w:rsidRDefault="00190E5A" w:rsidP="00190E5A">
            <w:pPr>
              <w:pStyle w:val="Default"/>
              <w:ind w:left="720"/>
            </w:pPr>
          </w:p>
          <w:p w:rsidR="00A541D6" w:rsidRPr="00BB69FE" w:rsidRDefault="00A541D6" w:rsidP="00D371F2">
            <w:pPr>
              <w:pStyle w:val="Default"/>
              <w:numPr>
                <w:ilvl w:val="0"/>
                <w:numId w:val="10"/>
              </w:numPr>
              <w:rPr>
                <w:rFonts w:ascii="Calibri" w:hAnsi="Calibri"/>
              </w:rPr>
            </w:pPr>
            <w:r w:rsidRPr="000A1654">
              <w:t>If Method #2 will not work</w:t>
            </w:r>
            <w:r w:rsidR="00544BF0">
              <w:t>,</w:t>
            </w:r>
            <w:r w:rsidRPr="000A1654">
              <w:t xml:space="preserve"> manual calculations are necessary.</w:t>
            </w:r>
          </w:p>
        </w:tc>
      </w:tr>
    </w:tbl>
    <w:p w:rsidR="0023024A" w:rsidRPr="00EA3AF9" w:rsidRDefault="0023024A" w:rsidP="0023024A">
      <w:pPr>
        <w:tabs>
          <w:tab w:val="left" w:pos="3402"/>
        </w:tabs>
        <w:rPr>
          <w:sz w:val="16"/>
          <w:szCs w:val="16"/>
        </w:rPr>
      </w:pPr>
    </w:p>
    <w:p w:rsidR="00C73BE4" w:rsidRDefault="0023024A" w:rsidP="00C73BE4">
      <w:pPr>
        <w:pStyle w:val="BlockLine"/>
        <w:spacing w:before="0"/>
        <w:ind w:left="1354"/>
        <w:jc w:val="right"/>
        <w:rPr>
          <w:b/>
          <w:bCs/>
          <w:sz w:val="28"/>
          <w:szCs w:val="28"/>
        </w:rPr>
      </w:pPr>
      <w:r>
        <w:rPr>
          <w:i/>
          <w:sz w:val="20"/>
        </w:rPr>
        <w:t>Continued on next page</w:t>
      </w:r>
      <w:r w:rsidR="00C73BE4">
        <w:rPr>
          <w:b/>
          <w:bCs/>
          <w:sz w:val="28"/>
          <w:szCs w:val="28"/>
        </w:rPr>
        <w:br w:type="page"/>
      </w:r>
    </w:p>
    <w:p w:rsidR="0023024A" w:rsidRDefault="0023024A" w:rsidP="0023024A">
      <w:pPr>
        <w:pStyle w:val="Heading4"/>
        <w:spacing w:after="0"/>
        <w:rPr>
          <w:rFonts w:ascii="Times New Roman" w:hAnsi="Times New Roman"/>
          <w:b/>
          <w:sz w:val="28"/>
          <w:szCs w:val="28"/>
        </w:rPr>
      </w:pPr>
      <w:r>
        <w:rPr>
          <w:rFonts w:ascii="Times New Roman" w:hAnsi="Times New Roman"/>
          <w:b/>
          <w:bCs/>
          <w:sz w:val="28"/>
          <w:szCs w:val="28"/>
        </w:rPr>
        <w:lastRenderedPageBreak/>
        <w:t>CIPPS Overtime Calculation Methods</w:t>
      </w:r>
      <w:r>
        <w:rPr>
          <w:rFonts w:ascii="Times New Roman" w:hAnsi="Times New Roman"/>
          <w:b/>
          <w:sz w:val="28"/>
          <w:szCs w:val="28"/>
        </w:rPr>
        <w:t xml:space="preserve">, </w:t>
      </w:r>
      <w:r w:rsidRPr="00B65B4E">
        <w:rPr>
          <w:rFonts w:ascii="Times New Roman" w:hAnsi="Times New Roman"/>
          <w:sz w:val="28"/>
          <w:szCs w:val="28"/>
        </w:rPr>
        <w:t>continued</w:t>
      </w:r>
    </w:p>
    <w:p w:rsidR="0023024A" w:rsidRDefault="0023024A" w:rsidP="0023024A">
      <w:pPr>
        <w:pStyle w:val="BlockLine"/>
        <w:ind w:left="1620"/>
        <w:rPr>
          <w:sz w:val="16"/>
          <w:szCs w:val="16"/>
        </w:rPr>
      </w:pPr>
    </w:p>
    <w:tbl>
      <w:tblPr>
        <w:tblW w:w="9722" w:type="dxa"/>
        <w:tblLayout w:type="fixed"/>
        <w:tblLook w:val="0000"/>
      </w:tblPr>
      <w:tblGrid>
        <w:gridCol w:w="1649"/>
        <w:gridCol w:w="8073"/>
      </w:tblGrid>
      <w:tr w:rsidR="00B37091" w:rsidRPr="000A1654" w:rsidTr="00190E5A">
        <w:trPr>
          <w:cantSplit/>
          <w:trHeight w:val="281"/>
        </w:trPr>
        <w:tc>
          <w:tcPr>
            <w:tcW w:w="1649" w:type="dxa"/>
          </w:tcPr>
          <w:p w:rsidR="00B37091" w:rsidRDefault="00B37091" w:rsidP="00190E5A">
            <w:pPr>
              <w:pStyle w:val="Heading5"/>
            </w:pPr>
            <w:r>
              <w:t>Calculating Overtime Manually</w:t>
            </w:r>
          </w:p>
        </w:tc>
        <w:tc>
          <w:tcPr>
            <w:tcW w:w="8073" w:type="dxa"/>
          </w:tcPr>
          <w:p w:rsidR="00B37091" w:rsidRPr="000A1654" w:rsidRDefault="00E4173A" w:rsidP="00190E5A">
            <w:pPr>
              <w:pStyle w:val="Default"/>
            </w:pPr>
            <w:r>
              <w:t xml:space="preserve">The overtime must be manually calculated if </w:t>
            </w:r>
            <w:r w:rsidR="00B37091" w:rsidRPr="000A1654">
              <w:t>neither of the above methods will work</w:t>
            </w:r>
            <w:r>
              <w:t xml:space="preserve">.  </w:t>
            </w:r>
            <w:r w:rsidR="00B37091" w:rsidRPr="000A1654">
              <w:t>These resources may be helpful when performing manual calculations:</w:t>
            </w:r>
          </w:p>
          <w:p w:rsidR="00B37091" w:rsidRPr="000A1654" w:rsidRDefault="00B37091" w:rsidP="00190E5A">
            <w:pPr>
              <w:pStyle w:val="Default"/>
            </w:pPr>
          </w:p>
          <w:p w:rsidR="00B37091" w:rsidRPr="000A1654" w:rsidRDefault="00B37091" w:rsidP="00190E5A">
            <w:pPr>
              <w:pStyle w:val="Default"/>
              <w:numPr>
                <w:ilvl w:val="0"/>
                <w:numId w:val="11"/>
              </w:numPr>
            </w:pPr>
            <w:r w:rsidRPr="000A1654">
              <w:t>Calculation Spreadsheet from State Payroll Operations</w:t>
            </w:r>
          </w:p>
          <w:p w:rsidR="00B37091" w:rsidRPr="000A1654" w:rsidRDefault="00B37091" w:rsidP="00190E5A">
            <w:pPr>
              <w:pStyle w:val="Default"/>
              <w:numPr>
                <w:ilvl w:val="0"/>
                <w:numId w:val="11"/>
              </w:numPr>
            </w:pPr>
            <w:r w:rsidRPr="000A1654">
              <w:t>DHRM Overtime Guidance</w:t>
            </w:r>
          </w:p>
          <w:p w:rsidR="00B37091" w:rsidRPr="000A1654" w:rsidRDefault="00B37091" w:rsidP="00190E5A">
            <w:pPr>
              <w:pStyle w:val="Default"/>
              <w:numPr>
                <w:ilvl w:val="0"/>
                <w:numId w:val="11"/>
              </w:numPr>
            </w:pPr>
            <w:r w:rsidRPr="000A1654">
              <w:t xml:space="preserve">DHRM </w:t>
            </w:r>
            <w:r w:rsidR="00E4173A">
              <w:t>g</w:t>
            </w:r>
            <w:r w:rsidRPr="000A1654">
              <w:t xml:space="preserve">uidance on calculating overtime related to </w:t>
            </w:r>
            <w:r w:rsidRPr="000A1654">
              <w:rPr>
                <w:b/>
              </w:rPr>
              <w:t>Discretionary</w:t>
            </w:r>
            <w:r w:rsidRPr="000A1654">
              <w:t xml:space="preserve"> Bonus Payments</w:t>
            </w:r>
            <w:r w:rsidR="00E4173A">
              <w:t xml:space="preserve">.  </w:t>
            </w:r>
            <w:r w:rsidRPr="000A1654">
              <w:t>Note</w:t>
            </w:r>
            <w:r w:rsidR="00E4173A">
              <w:t>:  Non-Discretionary Bonuses</w:t>
            </w:r>
            <w:r w:rsidRPr="000A1654">
              <w:t xml:space="preserve"> do not have to be included in overtime).</w:t>
            </w:r>
          </w:p>
          <w:p w:rsidR="00B37091" w:rsidRPr="000A1654" w:rsidRDefault="0004626C" w:rsidP="00190E5A">
            <w:pPr>
              <w:pStyle w:val="Default"/>
              <w:numPr>
                <w:ilvl w:val="1"/>
                <w:numId w:val="11"/>
              </w:numPr>
            </w:pPr>
            <w:hyperlink r:id="rId24" w:history="1">
              <w:r w:rsidR="00B37091" w:rsidRPr="000A1654">
                <w:rPr>
                  <w:rStyle w:val="Hyperlink"/>
                </w:rPr>
                <w:t>http://www.dhrm.virginia.gov/resources/communications/crabs/crab22a.pdf</w:t>
              </w:r>
            </w:hyperlink>
          </w:p>
          <w:p w:rsidR="00B37091" w:rsidRDefault="0004626C" w:rsidP="00190E5A">
            <w:pPr>
              <w:pStyle w:val="Default"/>
              <w:numPr>
                <w:ilvl w:val="1"/>
                <w:numId w:val="11"/>
              </w:numPr>
            </w:pPr>
            <w:hyperlink r:id="rId25" w:history="1">
              <w:r w:rsidR="00B37091" w:rsidRPr="000A1654">
                <w:rPr>
                  <w:rStyle w:val="Hyperlink"/>
                </w:rPr>
                <w:t>http://www.dhrm.virginia.gov/compreform/crabs/crab22_chart1.pdf</w:t>
              </w:r>
            </w:hyperlink>
          </w:p>
          <w:p w:rsidR="008455A8" w:rsidRDefault="008455A8" w:rsidP="008455A8">
            <w:pPr>
              <w:pStyle w:val="Default"/>
              <w:numPr>
                <w:ilvl w:val="0"/>
                <w:numId w:val="11"/>
              </w:numPr>
            </w:pPr>
            <w:r>
              <w:t xml:space="preserve">Department of Labor </w:t>
            </w:r>
            <w:r w:rsidR="00582A85">
              <w:t>Resources</w:t>
            </w:r>
          </w:p>
          <w:p w:rsidR="008455A8" w:rsidRDefault="00582A85" w:rsidP="008455A8">
            <w:pPr>
              <w:pStyle w:val="Default"/>
              <w:numPr>
                <w:ilvl w:val="1"/>
                <w:numId w:val="11"/>
              </w:numPr>
            </w:pPr>
            <w:r>
              <w:t xml:space="preserve">Fact Sheet #54 – The Health Care Industry and Calculating Overtime Pay: </w:t>
            </w:r>
            <w:hyperlink r:id="rId26" w:history="1">
              <w:r w:rsidRPr="003C257A">
                <w:rPr>
                  <w:rStyle w:val="Hyperlink"/>
                </w:rPr>
                <w:t>http://www.dol.gov/whd/regs/compliance/whdfs54.pdf</w:t>
              </w:r>
            </w:hyperlink>
          </w:p>
          <w:p w:rsidR="00582A85" w:rsidRDefault="00582A85" w:rsidP="008455A8">
            <w:pPr>
              <w:pStyle w:val="Default"/>
              <w:numPr>
                <w:ilvl w:val="1"/>
                <w:numId w:val="11"/>
              </w:numPr>
            </w:pPr>
            <w:r>
              <w:t xml:space="preserve">Fact Sheet #23 – Overtime Pay Requirements of the FLSA:  </w:t>
            </w:r>
            <w:hyperlink r:id="rId27" w:history="1">
              <w:r w:rsidRPr="003C257A">
                <w:rPr>
                  <w:rStyle w:val="Hyperlink"/>
                </w:rPr>
                <w:t>http://www.dol.gov/whd/regs/compliance/whdfs23.pdf</w:t>
              </w:r>
            </w:hyperlink>
          </w:p>
          <w:p w:rsidR="00582A85" w:rsidRDefault="00B112F4" w:rsidP="008455A8">
            <w:pPr>
              <w:pStyle w:val="Default"/>
              <w:numPr>
                <w:ilvl w:val="1"/>
                <w:numId w:val="11"/>
              </w:numPr>
            </w:pPr>
            <w:r>
              <w:t xml:space="preserve">Comprehensive FLSA Presentation:  </w:t>
            </w:r>
            <w:hyperlink r:id="rId28" w:history="1">
              <w:r w:rsidRPr="003C257A">
                <w:rPr>
                  <w:rStyle w:val="Hyperlink"/>
                </w:rPr>
                <w:t>http://www.dol.gov/whd/flsa/comprehensive.ppt</w:t>
              </w:r>
            </w:hyperlink>
          </w:p>
          <w:p w:rsidR="00B37091" w:rsidRPr="000A1654" w:rsidRDefault="00E4173A" w:rsidP="00190E5A">
            <w:pPr>
              <w:pStyle w:val="Default"/>
              <w:numPr>
                <w:ilvl w:val="0"/>
                <w:numId w:val="11"/>
              </w:numPr>
            </w:pPr>
            <w:r>
              <w:t>C</w:t>
            </w:r>
            <w:r w:rsidRPr="000A1654">
              <w:t xml:space="preserve">onsider using the Department of Labor’s Coefficient Tables </w:t>
            </w:r>
            <w:r>
              <w:t>f</w:t>
            </w:r>
            <w:r w:rsidR="00B37091" w:rsidRPr="000A1654">
              <w:t xml:space="preserve">or </w:t>
            </w:r>
            <w:r>
              <w:t>r</w:t>
            </w:r>
            <w:r w:rsidR="00B37091" w:rsidRPr="000A1654">
              <w:t xml:space="preserve">etroactive </w:t>
            </w:r>
            <w:r>
              <w:t>overtime adjustments:</w:t>
            </w:r>
          </w:p>
          <w:p w:rsidR="00B37091" w:rsidRPr="000A1654" w:rsidRDefault="0004626C" w:rsidP="00190E5A">
            <w:pPr>
              <w:pStyle w:val="Default"/>
              <w:numPr>
                <w:ilvl w:val="1"/>
                <w:numId w:val="11"/>
              </w:numPr>
            </w:pPr>
            <w:hyperlink r:id="rId29" w:history="1">
              <w:r w:rsidR="00B37091" w:rsidRPr="000A1654">
                <w:rPr>
                  <w:rStyle w:val="Hyperlink"/>
                </w:rPr>
                <w:t>http://www.dol.gov/whd/forms/CoefficientTableWH-134.pdf</w:t>
              </w:r>
            </w:hyperlink>
          </w:p>
          <w:p w:rsidR="00B37091" w:rsidRPr="000A1654" w:rsidRDefault="00B37091" w:rsidP="00190E5A">
            <w:pPr>
              <w:pStyle w:val="Default"/>
              <w:ind w:left="1440"/>
            </w:pPr>
          </w:p>
        </w:tc>
      </w:tr>
    </w:tbl>
    <w:p w:rsidR="00B91C3E" w:rsidRPr="00C50FDD" w:rsidRDefault="00B91C3E" w:rsidP="00B91C3E">
      <w:pPr>
        <w:pStyle w:val="BlockLine"/>
        <w:ind w:left="1620"/>
        <w:rPr>
          <w:sz w:val="16"/>
          <w:szCs w:val="16"/>
        </w:rPr>
      </w:pPr>
    </w:p>
    <w:p w:rsidR="0023024A" w:rsidRPr="00781905" w:rsidRDefault="0023024A" w:rsidP="0023024A">
      <w:pPr>
        <w:pStyle w:val="Heading4"/>
        <w:spacing w:after="0"/>
        <w:rPr>
          <w:rFonts w:ascii="Times New Roman" w:hAnsi="Times New Roman"/>
          <w:b/>
          <w:bCs/>
          <w:sz w:val="28"/>
          <w:szCs w:val="28"/>
        </w:rPr>
      </w:pPr>
      <w:r>
        <w:rPr>
          <w:rFonts w:ascii="Times New Roman" w:hAnsi="Times New Roman"/>
          <w:b/>
          <w:bCs/>
          <w:sz w:val="28"/>
          <w:szCs w:val="28"/>
        </w:rPr>
        <w:t>Payroll@DOA.Virginia.gov</w:t>
      </w:r>
    </w:p>
    <w:p w:rsidR="0023024A" w:rsidRPr="00C50FDD" w:rsidRDefault="0023024A" w:rsidP="0023024A">
      <w:pPr>
        <w:pStyle w:val="BlockLine"/>
        <w:ind w:left="1620"/>
        <w:rPr>
          <w:sz w:val="16"/>
          <w:szCs w:val="16"/>
        </w:rPr>
      </w:pPr>
    </w:p>
    <w:tbl>
      <w:tblPr>
        <w:tblW w:w="10188" w:type="dxa"/>
        <w:tblCellMar>
          <w:left w:w="0" w:type="dxa"/>
          <w:right w:w="0" w:type="dxa"/>
        </w:tblCellMar>
        <w:tblLook w:val="04A0"/>
      </w:tblPr>
      <w:tblGrid>
        <w:gridCol w:w="1830"/>
        <w:gridCol w:w="8358"/>
      </w:tblGrid>
      <w:tr w:rsidR="0023024A" w:rsidTr="00165097">
        <w:trPr>
          <w:cantSplit/>
          <w:trHeight w:val="882"/>
        </w:trPr>
        <w:tc>
          <w:tcPr>
            <w:tcW w:w="1713" w:type="dxa"/>
            <w:tcMar>
              <w:top w:w="0" w:type="dxa"/>
              <w:left w:w="108" w:type="dxa"/>
              <w:bottom w:w="0" w:type="dxa"/>
              <w:right w:w="108" w:type="dxa"/>
            </w:tcMar>
            <w:hideMark/>
          </w:tcPr>
          <w:p w:rsidR="0023024A" w:rsidRPr="009713FB" w:rsidRDefault="0023024A" w:rsidP="00165097">
            <w:pPr>
              <w:pStyle w:val="Heading5"/>
              <w:rPr>
                <w:bCs/>
                <w:sz w:val="24"/>
                <w:szCs w:val="24"/>
              </w:rPr>
            </w:pPr>
            <w:r w:rsidRPr="009713FB">
              <w:rPr>
                <w:bCs/>
                <w:sz w:val="24"/>
                <w:szCs w:val="24"/>
              </w:rPr>
              <w:t>Technical Support/Simple Inquiry</w:t>
            </w:r>
          </w:p>
        </w:tc>
        <w:tc>
          <w:tcPr>
            <w:tcW w:w="8475" w:type="dxa"/>
            <w:tcMar>
              <w:top w:w="0" w:type="dxa"/>
              <w:left w:w="108" w:type="dxa"/>
              <w:bottom w:w="0" w:type="dxa"/>
              <w:right w:w="108" w:type="dxa"/>
            </w:tcMar>
          </w:tcPr>
          <w:p w:rsidR="0023024A" w:rsidRPr="009713FB" w:rsidRDefault="0023024A" w:rsidP="00165097">
            <w:pPr>
              <w:rPr>
                <w:rFonts w:eastAsiaTheme="minorHAnsi"/>
                <w:szCs w:val="24"/>
              </w:rPr>
            </w:pPr>
            <w:r w:rsidRPr="009713FB">
              <w:t>When you are in need of technical support</w:t>
            </w:r>
            <w:r w:rsidR="00123227">
              <w:t>,</w:t>
            </w:r>
            <w:r w:rsidRPr="009713FB">
              <w:t xml:space="preserve"> or simply have an inquiry</w:t>
            </w:r>
            <w:r w:rsidR="00123227">
              <w:t>,</w:t>
            </w:r>
            <w:r w:rsidRPr="009713FB">
              <w:t xml:space="preserve"> please send an email to </w:t>
            </w:r>
            <w:hyperlink r:id="rId30" w:history="1">
              <w:r w:rsidRPr="009713FB">
                <w:rPr>
                  <w:rStyle w:val="Hyperlink"/>
                </w:rPr>
                <w:t>payroll@doa.virginia.gov</w:t>
              </w:r>
            </w:hyperlink>
            <w:r w:rsidRPr="009713FB">
              <w:t xml:space="preserve"> in lieu of calling or emailing a DOA Payroll Operations staff member directly.  This will help us to provide timely support to you in case a particular individual is out of the office and enable the staff to concentrate on the task-at-hand without continuous interruption.  Several staff members monitor this email box daily.  An analyst will review the email and provide direct support as soon as possible.  Be sure to provide thorough details and attach screen prints where applicable to document the inquiry.</w:t>
            </w:r>
          </w:p>
        </w:tc>
      </w:tr>
    </w:tbl>
    <w:p w:rsidR="0023024A" w:rsidRPr="00C50FDD" w:rsidRDefault="0023024A" w:rsidP="0023024A">
      <w:pPr>
        <w:pStyle w:val="BlockLine"/>
        <w:ind w:left="1620"/>
        <w:rPr>
          <w:sz w:val="16"/>
          <w:szCs w:val="16"/>
        </w:rPr>
      </w:pPr>
    </w:p>
    <w:p w:rsidR="008E69BF" w:rsidRDefault="008E69BF">
      <w:pPr>
        <w:rPr>
          <w:b/>
          <w:sz w:val="28"/>
          <w:szCs w:val="28"/>
        </w:rPr>
      </w:pPr>
      <w:r>
        <w:rPr>
          <w:b/>
          <w:sz w:val="28"/>
          <w:szCs w:val="28"/>
        </w:rPr>
        <w:br w:type="page"/>
      </w:r>
    </w:p>
    <w:p w:rsidR="0023024A" w:rsidRDefault="0023024A" w:rsidP="0023024A">
      <w:pPr>
        <w:pStyle w:val="Heading4"/>
        <w:spacing w:after="0"/>
        <w:rPr>
          <w:rFonts w:ascii="Times New Roman" w:hAnsi="Times New Roman"/>
          <w:b/>
          <w:sz w:val="28"/>
          <w:szCs w:val="28"/>
        </w:rPr>
      </w:pPr>
      <w:r>
        <w:rPr>
          <w:rFonts w:ascii="Times New Roman" w:hAnsi="Times New Roman"/>
          <w:b/>
          <w:sz w:val="28"/>
          <w:szCs w:val="28"/>
        </w:rPr>
        <w:lastRenderedPageBreak/>
        <w:t>PAT – Payroll Audit Tool and ARMICS</w:t>
      </w:r>
    </w:p>
    <w:p w:rsidR="0023024A" w:rsidRPr="00C50FDD" w:rsidRDefault="0023024A" w:rsidP="0023024A">
      <w:pPr>
        <w:pStyle w:val="BlockLine"/>
        <w:ind w:left="1620"/>
        <w:rPr>
          <w:sz w:val="16"/>
          <w:szCs w:val="16"/>
        </w:rPr>
      </w:pPr>
    </w:p>
    <w:tbl>
      <w:tblPr>
        <w:tblW w:w="10188" w:type="dxa"/>
        <w:tblLayout w:type="fixed"/>
        <w:tblLook w:val="0000"/>
      </w:tblPr>
      <w:tblGrid>
        <w:gridCol w:w="1728"/>
        <w:gridCol w:w="8460"/>
      </w:tblGrid>
      <w:tr w:rsidR="0023024A" w:rsidTr="00165097">
        <w:trPr>
          <w:cantSplit/>
          <w:trHeight w:val="2484"/>
        </w:trPr>
        <w:tc>
          <w:tcPr>
            <w:tcW w:w="1728" w:type="dxa"/>
          </w:tcPr>
          <w:p w:rsidR="0023024A" w:rsidRPr="009713FB" w:rsidRDefault="0023024A" w:rsidP="00165097">
            <w:pPr>
              <w:pStyle w:val="Heading5"/>
              <w:rPr>
                <w:sz w:val="24"/>
                <w:szCs w:val="24"/>
              </w:rPr>
            </w:pPr>
            <w:r w:rsidRPr="009713FB">
              <w:rPr>
                <w:sz w:val="24"/>
                <w:szCs w:val="24"/>
              </w:rPr>
              <w:t xml:space="preserve">A </w:t>
            </w:r>
            <w:r w:rsidR="002C6604" w:rsidRPr="009713FB">
              <w:rPr>
                <w:sz w:val="24"/>
                <w:szCs w:val="24"/>
              </w:rPr>
              <w:t>Suggested Tool to C</w:t>
            </w:r>
            <w:r w:rsidRPr="009713FB">
              <w:rPr>
                <w:sz w:val="24"/>
                <w:szCs w:val="24"/>
              </w:rPr>
              <w:t>omply with ARMICS</w:t>
            </w:r>
          </w:p>
        </w:tc>
        <w:tc>
          <w:tcPr>
            <w:tcW w:w="8460" w:type="dxa"/>
          </w:tcPr>
          <w:p w:rsidR="0023024A" w:rsidRPr="009713FB" w:rsidRDefault="0023024A" w:rsidP="00165097">
            <w:pPr>
              <w:pStyle w:val="BlockText"/>
              <w:rPr>
                <w:color w:val="000000"/>
                <w:szCs w:val="24"/>
              </w:rPr>
            </w:pPr>
            <w:r w:rsidRPr="009713FB">
              <w:rPr>
                <w:color w:val="000000"/>
                <w:szCs w:val="24"/>
              </w:rPr>
              <w:t xml:space="preserve">The Payroll Audit Tool (PAT) is a Web-Based application that facilitates the review and comparison of key payroll and leave information. PAT can be used to generate reports in a user-friendly format to: </w:t>
            </w:r>
          </w:p>
          <w:p w:rsidR="0023024A" w:rsidRPr="009713FB" w:rsidRDefault="0023024A" w:rsidP="00165097">
            <w:pPr>
              <w:pStyle w:val="BlockText"/>
              <w:rPr>
                <w:color w:val="000000"/>
                <w:szCs w:val="24"/>
              </w:rPr>
            </w:pPr>
          </w:p>
          <w:p w:rsidR="0023024A" w:rsidRPr="009713FB" w:rsidRDefault="0023024A" w:rsidP="00165097">
            <w:pPr>
              <w:pStyle w:val="Default"/>
              <w:numPr>
                <w:ilvl w:val="0"/>
                <w:numId w:val="4"/>
              </w:numPr>
            </w:pPr>
            <w:r w:rsidRPr="009713FB">
              <w:t xml:space="preserve">Audit and review payroll and leave activity </w:t>
            </w:r>
          </w:p>
          <w:p w:rsidR="0023024A" w:rsidRPr="009713FB" w:rsidRDefault="0023024A" w:rsidP="00165097">
            <w:pPr>
              <w:pStyle w:val="Default"/>
              <w:numPr>
                <w:ilvl w:val="0"/>
                <w:numId w:val="4"/>
              </w:numPr>
            </w:pPr>
            <w:r w:rsidRPr="009713FB">
              <w:t xml:space="preserve">Expedite the tracking and analysis of payroll expenditures </w:t>
            </w:r>
          </w:p>
          <w:p w:rsidR="0023024A" w:rsidRPr="009713FB" w:rsidRDefault="0023024A" w:rsidP="00165097">
            <w:pPr>
              <w:pStyle w:val="Default"/>
              <w:numPr>
                <w:ilvl w:val="0"/>
                <w:numId w:val="4"/>
              </w:numPr>
            </w:pPr>
            <w:r w:rsidRPr="009713FB">
              <w:t xml:space="preserve">Track Wage Employee 1500 Hour status </w:t>
            </w:r>
          </w:p>
          <w:p w:rsidR="0023024A" w:rsidRPr="009713FB" w:rsidRDefault="0023024A" w:rsidP="00165097">
            <w:pPr>
              <w:pStyle w:val="Default"/>
              <w:numPr>
                <w:ilvl w:val="0"/>
                <w:numId w:val="4"/>
              </w:numPr>
            </w:pPr>
            <w:r w:rsidRPr="009713FB">
              <w:t xml:space="preserve">Summarize monthly EPR information to key into PMIS </w:t>
            </w:r>
          </w:p>
          <w:p w:rsidR="0023024A" w:rsidRPr="009713FB" w:rsidRDefault="0023024A" w:rsidP="00165097">
            <w:pPr>
              <w:pStyle w:val="Default"/>
              <w:numPr>
                <w:ilvl w:val="0"/>
                <w:numId w:val="4"/>
              </w:numPr>
            </w:pPr>
            <w:proofErr w:type="gramStart"/>
            <w:r w:rsidRPr="009713FB">
              <w:t>and</w:t>
            </w:r>
            <w:proofErr w:type="gramEnd"/>
            <w:r w:rsidRPr="009713FB">
              <w:t xml:space="preserve"> much more.</w:t>
            </w:r>
          </w:p>
          <w:p w:rsidR="0023024A" w:rsidRPr="009713FB" w:rsidRDefault="0023024A" w:rsidP="00165097">
            <w:pPr>
              <w:pStyle w:val="Default"/>
            </w:pPr>
          </w:p>
          <w:p w:rsidR="0023024A" w:rsidRPr="009713FB" w:rsidRDefault="0023024A" w:rsidP="00165097">
            <w:pPr>
              <w:pStyle w:val="Default"/>
            </w:pPr>
            <w:r w:rsidRPr="009713FB">
              <w:t>Please read CAPP Topic 70735 to become familiar with the data analysis and reporting PAT can provide.  Use of this information reporting tool can empower your fiscal office with necessary data to remain in compliance with Commonwealth policies and identify potential problems before the payroll is produced.</w:t>
            </w:r>
          </w:p>
          <w:p w:rsidR="0023024A" w:rsidRPr="009713FB" w:rsidRDefault="0023024A" w:rsidP="00165097">
            <w:pPr>
              <w:pStyle w:val="Default"/>
            </w:pPr>
          </w:p>
          <w:p w:rsidR="0023024A" w:rsidRPr="009713FB" w:rsidRDefault="0023024A" w:rsidP="004E2986">
            <w:pPr>
              <w:pStyle w:val="Default"/>
            </w:pPr>
            <w:r w:rsidRPr="009713FB">
              <w:t>Additionally</w:t>
            </w:r>
            <w:r w:rsidR="008A78F2" w:rsidRPr="009713FB">
              <w:t>,</w:t>
            </w:r>
            <w:r w:rsidRPr="009713FB">
              <w:t xml:space="preserve"> the Certification CAPP Topics (50800 series) </w:t>
            </w:r>
            <w:proofErr w:type="spellStart"/>
            <w:r w:rsidRPr="009713FB">
              <w:t>reference</w:t>
            </w:r>
            <w:proofErr w:type="spellEnd"/>
            <w:r w:rsidRPr="009713FB">
              <w:t xml:space="preserve"> the use of PAT to “</w:t>
            </w:r>
            <w:r w:rsidRPr="009713FB">
              <w:rPr>
                <w:i/>
                <w:iCs/>
              </w:rPr>
              <w:t xml:space="preserve">reduce the review time by highlighting differences, summarizing data, and much more.” </w:t>
            </w:r>
          </w:p>
        </w:tc>
      </w:tr>
    </w:tbl>
    <w:p w:rsidR="004E2986" w:rsidRPr="00C50FDD" w:rsidRDefault="004E2986" w:rsidP="004E2986">
      <w:pPr>
        <w:pStyle w:val="BlockLine"/>
        <w:ind w:left="1620"/>
        <w:rPr>
          <w:sz w:val="16"/>
          <w:szCs w:val="16"/>
        </w:rPr>
      </w:pPr>
    </w:p>
    <w:p w:rsidR="0023024A" w:rsidRDefault="0023024A" w:rsidP="0023024A">
      <w:pPr>
        <w:pStyle w:val="Heading4"/>
        <w:spacing w:after="0"/>
        <w:rPr>
          <w:rFonts w:ascii="Times New Roman" w:hAnsi="Times New Roman"/>
          <w:b/>
          <w:sz w:val="28"/>
          <w:szCs w:val="28"/>
        </w:rPr>
      </w:pPr>
    </w:p>
    <w:p w:rsidR="00B37091" w:rsidRPr="000C7D52" w:rsidRDefault="00B37091" w:rsidP="000C7D52"/>
    <w:sectPr w:rsidR="00B37091" w:rsidRPr="000C7D52" w:rsidSect="00C72E04">
      <w:headerReference w:type="default" r:id="rId31"/>
      <w:footerReference w:type="default" r:id="rId32"/>
      <w:pgSz w:w="12240" w:h="15840" w:code="1"/>
      <w:pgMar w:top="480" w:right="1152" w:bottom="0" w:left="1152" w:header="288"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12D" w:rsidRDefault="000F712D">
      <w:r>
        <w:separator/>
      </w:r>
    </w:p>
  </w:endnote>
  <w:endnote w:type="continuationSeparator" w:id="0">
    <w:p w:rsidR="000F712D" w:rsidRDefault="000F71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0000000000000000000"/>
    <w:charset w:val="00"/>
    <w:family w:val="roman"/>
    <w:notTrueType/>
    <w:pitch w:val="default"/>
    <w:sig w:usb0="00000000" w:usb1="00000000" w:usb2="00000000" w:usb3="00000000" w:csb0="0000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027" w:rsidRPr="00C72E04" w:rsidRDefault="007D1027" w:rsidP="00DD1147">
    <w:pPr>
      <w:pStyle w:val="Footer"/>
      <w:pBdr>
        <w:top w:val="single" w:sz="6" w:space="0" w:color="auto"/>
      </w:pBdr>
      <w:tabs>
        <w:tab w:val="clear" w:pos="4320"/>
        <w:tab w:val="clear" w:pos="8640"/>
        <w:tab w:val="left" w:pos="5940"/>
      </w:tabs>
      <w:ind w:right="-414"/>
      <w:jc w:val="center"/>
      <w:rPr>
        <w:i/>
        <w:snapToGrid w:val="0"/>
        <w:sz w:val="22"/>
      </w:rPr>
    </w:pPr>
    <w:r w:rsidRPr="00C72E04">
      <w:rPr>
        <w:i/>
        <w:snapToGrid w:val="0"/>
        <w:sz w:val="22"/>
      </w:rPr>
      <w:t xml:space="preserve">Page </w:t>
    </w:r>
    <w:r w:rsidR="0004626C" w:rsidRPr="00C72E04">
      <w:rPr>
        <w:rStyle w:val="PageNumber"/>
        <w:sz w:val="22"/>
      </w:rPr>
      <w:fldChar w:fldCharType="begin"/>
    </w:r>
    <w:r w:rsidRPr="00C72E04">
      <w:rPr>
        <w:rStyle w:val="PageNumber"/>
        <w:sz w:val="22"/>
      </w:rPr>
      <w:instrText xml:space="preserve"> PAGE </w:instrText>
    </w:r>
    <w:r w:rsidR="0004626C" w:rsidRPr="00C72E04">
      <w:rPr>
        <w:rStyle w:val="PageNumber"/>
        <w:sz w:val="22"/>
      </w:rPr>
      <w:fldChar w:fldCharType="separate"/>
    </w:r>
    <w:r w:rsidR="001C7D6A">
      <w:rPr>
        <w:rStyle w:val="PageNumber"/>
        <w:noProof/>
        <w:sz w:val="22"/>
      </w:rPr>
      <w:t>5</w:t>
    </w:r>
    <w:r w:rsidR="0004626C" w:rsidRPr="00C72E04">
      <w:rPr>
        <w:rStyle w:val="PageNumber"/>
        <w:sz w:val="22"/>
      </w:rPr>
      <w:fldChar w:fldCharType="end"/>
    </w:r>
    <w:r w:rsidRPr="00C72E04">
      <w:rPr>
        <w:rStyle w:val="PageNumber"/>
        <w:sz w:val="22"/>
      </w:rPr>
      <w:t xml:space="preserve"> of </w:t>
    </w:r>
    <w:r w:rsidR="0004626C" w:rsidRPr="00C72E04">
      <w:rPr>
        <w:rStyle w:val="PageNumber"/>
        <w:sz w:val="22"/>
      </w:rPr>
      <w:fldChar w:fldCharType="begin"/>
    </w:r>
    <w:r w:rsidRPr="00C72E04">
      <w:rPr>
        <w:rStyle w:val="PageNumber"/>
        <w:sz w:val="22"/>
      </w:rPr>
      <w:instrText xml:space="preserve"> NUMPAGES </w:instrText>
    </w:r>
    <w:r w:rsidR="0004626C" w:rsidRPr="00C72E04">
      <w:rPr>
        <w:rStyle w:val="PageNumber"/>
        <w:sz w:val="22"/>
      </w:rPr>
      <w:fldChar w:fldCharType="separate"/>
    </w:r>
    <w:r w:rsidR="001C7D6A">
      <w:rPr>
        <w:rStyle w:val="PageNumber"/>
        <w:noProof/>
        <w:sz w:val="22"/>
      </w:rPr>
      <w:t>12</w:t>
    </w:r>
    <w:r w:rsidR="0004626C" w:rsidRPr="00C72E04">
      <w:rPr>
        <w:rStyle w:val="PageNumber"/>
        <w:sz w:val="22"/>
      </w:rPr>
      <w:fldChar w:fldCharType="end"/>
    </w:r>
  </w:p>
  <w:p w:rsidR="007D1027" w:rsidRPr="00C72E04" w:rsidRDefault="0004626C" w:rsidP="00BC63D2">
    <w:pPr>
      <w:pStyle w:val="NormalWeb"/>
      <w:jc w:val="center"/>
      <w:rPr>
        <w:snapToGrid w:val="0"/>
        <w:sz w:val="22"/>
      </w:rPr>
    </w:pPr>
    <w:hyperlink r:id="rId1" w:tooltip="http://www.doa.virginia.gov/Payroll/Payroll_Bulletins/Payroll_Bulletins_Main.cfm" w:history="1">
      <w:r w:rsidR="007D1027" w:rsidRPr="00C72E04">
        <w:rPr>
          <w:rStyle w:val="Hyperlink"/>
          <w:i/>
          <w:iCs/>
          <w:snapToGrid w:val="0"/>
          <w:sz w:val="22"/>
          <w:szCs w:val="20"/>
        </w:rPr>
        <w:t>http://www.doa.virginia.gov/Payroll/Payroll_Bulletins/Payroll_Bulletins_Main.cfm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12D" w:rsidRDefault="000F712D">
      <w:r>
        <w:separator/>
      </w:r>
    </w:p>
  </w:footnote>
  <w:footnote w:type="continuationSeparator" w:id="0">
    <w:p w:rsidR="000F712D" w:rsidRDefault="000F7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8" w:type="dxa"/>
      <w:tblLayout w:type="fixed"/>
      <w:tblLook w:val="0000"/>
    </w:tblPr>
    <w:tblGrid>
      <w:gridCol w:w="3366"/>
      <w:gridCol w:w="3366"/>
      <w:gridCol w:w="3456"/>
    </w:tblGrid>
    <w:tr w:rsidR="007D1027" w:rsidTr="00457EE5">
      <w:trPr>
        <w:cantSplit/>
      </w:trPr>
      <w:tc>
        <w:tcPr>
          <w:tcW w:w="3366" w:type="dxa"/>
          <w:tcBorders>
            <w:bottom w:val="double" w:sz="6" w:space="0" w:color="auto"/>
          </w:tcBorders>
        </w:tcPr>
        <w:p w:rsidR="007D1027" w:rsidRDefault="007D1027" w:rsidP="00B11532">
          <w:pPr>
            <w:pStyle w:val="Header"/>
            <w:rPr>
              <w:b/>
              <w:sz w:val="20"/>
            </w:rPr>
          </w:pPr>
          <w:r>
            <w:rPr>
              <w:b/>
              <w:sz w:val="20"/>
            </w:rPr>
            <w:t>Calendar Year 2013</w:t>
          </w:r>
        </w:p>
      </w:tc>
      <w:tc>
        <w:tcPr>
          <w:tcW w:w="3366" w:type="dxa"/>
          <w:tcBorders>
            <w:bottom w:val="double" w:sz="6" w:space="0" w:color="auto"/>
          </w:tcBorders>
        </w:tcPr>
        <w:p w:rsidR="007D1027" w:rsidRDefault="00A00301" w:rsidP="00B21DC1">
          <w:pPr>
            <w:pStyle w:val="Header"/>
            <w:jc w:val="center"/>
            <w:rPr>
              <w:b/>
              <w:sz w:val="20"/>
            </w:rPr>
          </w:pPr>
          <w:r>
            <w:rPr>
              <w:b/>
              <w:sz w:val="20"/>
            </w:rPr>
            <w:t>October 7</w:t>
          </w:r>
          <w:r w:rsidR="007D1027">
            <w:rPr>
              <w:b/>
              <w:sz w:val="20"/>
            </w:rPr>
            <w:t>, 2013</w:t>
          </w:r>
        </w:p>
      </w:tc>
      <w:tc>
        <w:tcPr>
          <w:tcW w:w="3456" w:type="dxa"/>
          <w:tcBorders>
            <w:bottom w:val="double" w:sz="6" w:space="0" w:color="auto"/>
          </w:tcBorders>
        </w:tcPr>
        <w:p w:rsidR="007D1027" w:rsidRDefault="007D1027" w:rsidP="00B21DC1">
          <w:pPr>
            <w:pStyle w:val="Header"/>
            <w:jc w:val="right"/>
            <w:rPr>
              <w:b/>
              <w:sz w:val="20"/>
            </w:rPr>
          </w:pPr>
          <w:r>
            <w:rPr>
              <w:b/>
              <w:sz w:val="20"/>
            </w:rPr>
            <w:t>Volume 2013-10</w:t>
          </w:r>
        </w:p>
      </w:tc>
    </w:tr>
  </w:tbl>
  <w:p w:rsidR="007D1027" w:rsidRDefault="007D1027" w:rsidP="00B97E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8CB2D3"/>
    <w:multiLevelType w:val="hybridMultilevel"/>
    <w:tmpl w:val="EC8513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5E185A06"/>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A162B0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BCFE003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08D883D6"/>
    <w:lvl w:ilvl="0">
      <w:start w:val="1"/>
      <w:numFmt w:val="decimal"/>
      <w:pStyle w:val="ListNumber2"/>
      <w:lvlText w:val="%1."/>
      <w:lvlJc w:val="left"/>
      <w:pPr>
        <w:tabs>
          <w:tab w:val="num" w:pos="720"/>
        </w:tabs>
        <w:ind w:left="720" w:hanging="360"/>
      </w:pPr>
    </w:lvl>
  </w:abstractNum>
  <w:abstractNum w:abstractNumId="5">
    <w:nsid w:val="FFFFFF80"/>
    <w:multiLevelType w:val="singleLevel"/>
    <w:tmpl w:val="C19E683A"/>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929254DA"/>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79C0D4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7D023AE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BF8D19C"/>
    <w:lvl w:ilvl="0">
      <w:start w:val="1"/>
      <w:numFmt w:val="decimal"/>
      <w:pStyle w:val="ListNumber"/>
      <w:lvlText w:val="%1."/>
      <w:lvlJc w:val="left"/>
      <w:pPr>
        <w:tabs>
          <w:tab w:val="num" w:pos="360"/>
        </w:tabs>
        <w:ind w:left="360" w:hanging="360"/>
      </w:pPr>
    </w:lvl>
  </w:abstractNum>
  <w:abstractNum w:abstractNumId="10">
    <w:nsid w:val="FFFFFF89"/>
    <w:multiLevelType w:val="singleLevel"/>
    <w:tmpl w:val="9276489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BE23F7"/>
    <w:multiLevelType w:val="hybridMultilevel"/>
    <w:tmpl w:val="E484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003E5"/>
    <w:multiLevelType w:val="hybridMultilevel"/>
    <w:tmpl w:val="4EDA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75D63"/>
    <w:multiLevelType w:val="hybridMultilevel"/>
    <w:tmpl w:val="EE4C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855CA"/>
    <w:multiLevelType w:val="hybridMultilevel"/>
    <w:tmpl w:val="C49E984E"/>
    <w:lvl w:ilvl="0" w:tplc="D6BC7E3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575EC"/>
    <w:multiLevelType w:val="hybridMultilevel"/>
    <w:tmpl w:val="33C67FC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9FC1D93"/>
    <w:multiLevelType w:val="hybridMultilevel"/>
    <w:tmpl w:val="A26EC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B13DC"/>
    <w:multiLevelType w:val="hybridMultilevel"/>
    <w:tmpl w:val="2E76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nsid w:val="70827D2C"/>
    <w:multiLevelType w:val="hybridMultilevel"/>
    <w:tmpl w:val="AE68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A4992"/>
    <w:multiLevelType w:val="hybridMultilevel"/>
    <w:tmpl w:val="4906CD7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1">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21"/>
  </w:num>
  <w:num w:numId="2">
    <w:abstractNumId w:val="18"/>
  </w:num>
  <w:num w:numId="3">
    <w:abstractNumId w:val="20"/>
  </w:num>
  <w:num w:numId="4">
    <w:abstractNumId w:val="0"/>
  </w:num>
  <w:num w:numId="5">
    <w:abstractNumId w:val="13"/>
  </w:num>
  <w:num w:numId="6">
    <w:abstractNumId w:val="15"/>
  </w:num>
  <w:num w:numId="7">
    <w:abstractNumId w:val="11"/>
  </w:num>
  <w:num w:numId="8">
    <w:abstractNumId w:val="12"/>
  </w:num>
  <w:num w:numId="9">
    <w:abstractNumId w:val="19"/>
  </w:num>
  <w:num w:numId="10">
    <w:abstractNumId w:val="17"/>
  </w:num>
  <w:num w:numId="11">
    <w:abstractNumId w:val="16"/>
  </w:num>
  <w:num w:numId="12">
    <w:abstractNumId w:val="14"/>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D0C78"/>
    <w:rsid w:val="0000308D"/>
    <w:rsid w:val="000134A3"/>
    <w:rsid w:val="00020DE5"/>
    <w:rsid w:val="000229A0"/>
    <w:rsid w:val="000248B8"/>
    <w:rsid w:val="00027B45"/>
    <w:rsid w:val="00030043"/>
    <w:rsid w:val="00031810"/>
    <w:rsid w:val="000330E6"/>
    <w:rsid w:val="00037673"/>
    <w:rsid w:val="00041030"/>
    <w:rsid w:val="0004626C"/>
    <w:rsid w:val="000516A3"/>
    <w:rsid w:val="00053D2A"/>
    <w:rsid w:val="0005597F"/>
    <w:rsid w:val="0006095F"/>
    <w:rsid w:val="00070AED"/>
    <w:rsid w:val="00072B36"/>
    <w:rsid w:val="00077AD2"/>
    <w:rsid w:val="00090054"/>
    <w:rsid w:val="00096317"/>
    <w:rsid w:val="000A0E93"/>
    <w:rsid w:val="000A1654"/>
    <w:rsid w:val="000A36C8"/>
    <w:rsid w:val="000A3E0D"/>
    <w:rsid w:val="000A5692"/>
    <w:rsid w:val="000C7D52"/>
    <w:rsid w:val="000D0C78"/>
    <w:rsid w:val="000D7D3F"/>
    <w:rsid w:val="000E4259"/>
    <w:rsid w:val="000E49D5"/>
    <w:rsid w:val="000E7487"/>
    <w:rsid w:val="000F014F"/>
    <w:rsid w:val="000F3BC5"/>
    <w:rsid w:val="000F68C9"/>
    <w:rsid w:val="000F712D"/>
    <w:rsid w:val="00107430"/>
    <w:rsid w:val="00111132"/>
    <w:rsid w:val="00115C10"/>
    <w:rsid w:val="00121C51"/>
    <w:rsid w:val="00123227"/>
    <w:rsid w:val="00123B03"/>
    <w:rsid w:val="00124191"/>
    <w:rsid w:val="00135890"/>
    <w:rsid w:val="0014285F"/>
    <w:rsid w:val="001434D8"/>
    <w:rsid w:val="00152059"/>
    <w:rsid w:val="0015455A"/>
    <w:rsid w:val="00162216"/>
    <w:rsid w:val="00164F16"/>
    <w:rsid w:val="00166819"/>
    <w:rsid w:val="0017285D"/>
    <w:rsid w:val="00177EA1"/>
    <w:rsid w:val="00182A5C"/>
    <w:rsid w:val="00184A1D"/>
    <w:rsid w:val="00186195"/>
    <w:rsid w:val="00186DAA"/>
    <w:rsid w:val="00190E5A"/>
    <w:rsid w:val="0019385E"/>
    <w:rsid w:val="001A0BC2"/>
    <w:rsid w:val="001A2715"/>
    <w:rsid w:val="001A3EA1"/>
    <w:rsid w:val="001C3B20"/>
    <w:rsid w:val="001C416E"/>
    <w:rsid w:val="001C6B3E"/>
    <w:rsid w:val="001C7D6A"/>
    <w:rsid w:val="001D10FC"/>
    <w:rsid w:val="001E07BF"/>
    <w:rsid w:val="001E0A5A"/>
    <w:rsid w:val="001E47DD"/>
    <w:rsid w:val="001E5C91"/>
    <w:rsid w:val="001E676B"/>
    <w:rsid w:val="001F28FA"/>
    <w:rsid w:val="001F423F"/>
    <w:rsid w:val="001F5112"/>
    <w:rsid w:val="00202B71"/>
    <w:rsid w:val="00211FBE"/>
    <w:rsid w:val="00214179"/>
    <w:rsid w:val="002219FB"/>
    <w:rsid w:val="00223BC7"/>
    <w:rsid w:val="002244EF"/>
    <w:rsid w:val="00224574"/>
    <w:rsid w:val="00224F21"/>
    <w:rsid w:val="00225F15"/>
    <w:rsid w:val="0023024A"/>
    <w:rsid w:val="002313C2"/>
    <w:rsid w:val="002337E5"/>
    <w:rsid w:val="00246724"/>
    <w:rsid w:val="00251987"/>
    <w:rsid w:val="00254C18"/>
    <w:rsid w:val="00254F1E"/>
    <w:rsid w:val="00282FE5"/>
    <w:rsid w:val="00283758"/>
    <w:rsid w:val="002875BF"/>
    <w:rsid w:val="00292042"/>
    <w:rsid w:val="002938EC"/>
    <w:rsid w:val="002A0298"/>
    <w:rsid w:val="002A149C"/>
    <w:rsid w:val="002A3ED9"/>
    <w:rsid w:val="002B46AD"/>
    <w:rsid w:val="002B5752"/>
    <w:rsid w:val="002B69A0"/>
    <w:rsid w:val="002B7654"/>
    <w:rsid w:val="002C0958"/>
    <w:rsid w:val="002C1D7B"/>
    <w:rsid w:val="002C4659"/>
    <w:rsid w:val="002C6604"/>
    <w:rsid w:val="002C7CC2"/>
    <w:rsid w:val="002D27FC"/>
    <w:rsid w:val="002D399D"/>
    <w:rsid w:val="002E55A6"/>
    <w:rsid w:val="002F385B"/>
    <w:rsid w:val="002F7B7E"/>
    <w:rsid w:val="00310A2A"/>
    <w:rsid w:val="00312378"/>
    <w:rsid w:val="0031514A"/>
    <w:rsid w:val="00315DB1"/>
    <w:rsid w:val="00315F57"/>
    <w:rsid w:val="003206CB"/>
    <w:rsid w:val="00324E82"/>
    <w:rsid w:val="0034607D"/>
    <w:rsid w:val="00351CE2"/>
    <w:rsid w:val="00357897"/>
    <w:rsid w:val="003667F5"/>
    <w:rsid w:val="003739A2"/>
    <w:rsid w:val="00374FDC"/>
    <w:rsid w:val="0037502F"/>
    <w:rsid w:val="00385A63"/>
    <w:rsid w:val="00387A2A"/>
    <w:rsid w:val="00387BF4"/>
    <w:rsid w:val="00390F63"/>
    <w:rsid w:val="00390FC5"/>
    <w:rsid w:val="003A1803"/>
    <w:rsid w:val="003B09C4"/>
    <w:rsid w:val="003B11AE"/>
    <w:rsid w:val="003B1670"/>
    <w:rsid w:val="003C4434"/>
    <w:rsid w:val="003C566C"/>
    <w:rsid w:val="003D5665"/>
    <w:rsid w:val="003D56A6"/>
    <w:rsid w:val="003F773F"/>
    <w:rsid w:val="00402FDF"/>
    <w:rsid w:val="00406F86"/>
    <w:rsid w:val="004125C0"/>
    <w:rsid w:val="00430920"/>
    <w:rsid w:val="00430D1A"/>
    <w:rsid w:val="0043525B"/>
    <w:rsid w:val="004415DE"/>
    <w:rsid w:val="00442DC0"/>
    <w:rsid w:val="0044520A"/>
    <w:rsid w:val="004520E7"/>
    <w:rsid w:val="0045224D"/>
    <w:rsid w:val="00453864"/>
    <w:rsid w:val="004555C1"/>
    <w:rsid w:val="00456C95"/>
    <w:rsid w:val="00457EE5"/>
    <w:rsid w:val="004809FF"/>
    <w:rsid w:val="004830D4"/>
    <w:rsid w:val="004863ED"/>
    <w:rsid w:val="00486725"/>
    <w:rsid w:val="00487297"/>
    <w:rsid w:val="00487C09"/>
    <w:rsid w:val="00491735"/>
    <w:rsid w:val="00496B54"/>
    <w:rsid w:val="004A2243"/>
    <w:rsid w:val="004A2EB5"/>
    <w:rsid w:val="004A715D"/>
    <w:rsid w:val="004B75CD"/>
    <w:rsid w:val="004D113C"/>
    <w:rsid w:val="004D13E1"/>
    <w:rsid w:val="004D2BBE"/>
    <w:rsid w:val="004E2986"/>
    <w:rsid w:val="004E5846"/>
    <w:rsid w:val="004E7B9F"/>
    <w:rsid w:val="004F1113"/>
    <w:rsid w:val="004F5988"/>
    <w:rsid w:val="0050233B"/>
    <w:rsid w:val="00503E29"/>
    <w:rsid w:val="00524151"/>
    <w:rsid w:val="00541D40"/>
    <w:rsid w:val="00544BF0"/>
    <w:rsid w:val="00545EED"/>
    <w:rsid w:val="0055255F"/>
    <w:rsid w:val="005549EA"/>
    <w:rsid w:val="0056085F"/>
    <w:rsid w:val="00560A56"/>
    <w:rsid w:val="00562AD7"/>
    <w:rsid w:val="00564691"/>
    <w:rsid w:val="00565BF7"/>
    <w:rsid w:val="005668A2"/>
    <w:rsid w:val="0057239D"/>
    <w:rsid w:val="00572A27"/>
    <w:rsid w:val="00573D72"/>
    <w:rsid w:val="00575ECA"/>
    <w:rsid w:val="00577190"/>
    <w:rsid w:val="00580CFE"/>
    <w:rsid w:val="00582A85"/>
    <w:rsid w:val="00582ED5"/>
    <w:rsid w:val="00582F80"/>
    <w:rsid w:val="0058605B"/>
    <w:rsid w:val="00587CEB"/>
    <w:rsid w:val="005951FF"/>
    <w:rsid w:val="005953B7"/>
    <w:rsid w:val="005A59D8"/>
    <w:rsid w:val="005A76C9"/>
    <w:rsid w:val="005B3C26"/>
    <w:rsid w:val="005C1612"/>
    <w:rsid w:val="005C2403"/>
    <w:rsid w:val="005C3DF7"/>
    <w:rsid w:val="005D6F7B"/>
    <w:rsid w:val="005E1A52"/>
    <w:rsid w:val="005E6CAD"/>
    <w:rsid w:val="005F1589"/>
    <w:rsid w:val="005F27CC"/>
    <w:rsid w:val="005F39E8"/>
    <w:rsid w:val="005F43F6"/>
    <w:rsid w:val="00600596"/>
    <w:rsid w:val="006072C4"/>
    <w:rsid w:val="00610A2C"/>
    <w:rsid w:val="00611577"/>
    <w:rsid w:val="00612422"/>
    <w:rsid w:val="00613C4E"/>
    <w:rsid w:val="0062214F"/>
    <w:rsid w:val="00624F5A"/>
    <w:rsid w:val="006322B5"/>
    <w:rsid w:val="00634567"/>
    <w:rsid w:val="006509E0"/>
    <w:rsid w:val="00653F32"/>
    <w:rsid w:val="00654A9F"/>
    <w:rsid w:val="00674030"/>
    <w:rsid w:val="0068029E"/>
    <w:rsid w:val="0068152E"/>
    <w:rsid w:val="006842B2"/>
    <w:rsid w:val="00686D94"/>
    <w:rsid w:val="0069030B"/>
    <w:rsid w:val="00694DC5"/>
    <w:rsid w:val="00694F96"/>
    <w:rsid w:val="0069555B"/>
    <w:rsid w:val="006A1493"/>
    <w:rsid w:val="006A279F"/>
    <w:rsid w:val="006A3C0D"/>
    <w:rsid w:val="006B03F2"/>
    <w:rsid w:val="006B24C0"/>
    <w:rsid w:val="006B7109"/>
    <w:rsid w:val="006C3BEE"/>
    <w:rsid w:val="006D0446"/>
    <w:rsid w:val="006D39A3"/>
    <w:rsid w:val="006D49C3"/>
    <w:rsid w:val="006D5014"/>
    <w:rsid w:val="006E2EB1"/>
    <w:rsid w:val="006F1AAE"/>
    <w:rsid w:val="006F1C0D"/>
    <w:rsid w:val="006F2B55"/>
    <w:rsid w:val="006F2F52"/>
    <w:rsid w:val="006F354C"/>
    <w:rsid w:val="007063A1"/>
    <w:rsid w:val="00706716"/>
    <w:rsid w:val="0071647B"/>
    <w:rsid w:val="00717F70"/>
    <w:rsid w:val="00722E47"/>
    <w:rsid w:val="00731DB0"/>
    <w:rsid w:val="007337C8"/>
    <w:rsid w:val="00747C9E"/>
    <w:rsid w:val="00747E3C"/>
    <w:rsid w:val="007556AB"/>
    <w:rsid w:val="00757BFB"/>
    <w:rsid w:val="007638AF"/>
    <w:rsid w:val="007667FA"/>
    <w:rsid w:val="00767B7A"/>
    <w:rsid w:val="007750D1"/>
    <w:rsid w:val="0078110A"/>
    <w:rsid w:val="00781905"/>
    <w:rsid w:val="00787261"/>
    <w:rsid w:val="00787C29"/>
    <w:rsid w:val="0079072D"/>
    <w:rsid w:val="007A4B30"/>
    <w:rsid w:val="007B151F"/>
    <w:rsid w:val="007B4814"/>
    <w:rsid w:val="007C2829"/>
    <w:rsid w:val="007C28D4"/>
    <w:rsid w:val="007C2BEA"/>
    <w:rsid w:val="007C782F"/>
    <w:rsid w:val="007D1027"/>
    <w:rsid w:val="007D1F93"/>
    <w:rsid w:val="007D291D"/>
    <w:rsid w:val="007D487C"/>
    <w:rsid w:val="007D6C14"/>
    <w:rsid w:val="007F3100"/>
    <w:rsid w:val="007F51A7"/>
    <w:rsid w:val="007F5B01"/>
    <w:rsid w:val="00801B20"/>
    <w:rsid w:val="00805277"/>
    <w:rsid w:val="008104B0"/>
    <w:rsid w:val="008104C1"/>
    <w:rsid w:val="00817B4A"/>
    <w:rsid w:val="0083175A"/>
    <w:rsid w:val="00833288"/>
    <w:rsid w:val="00836D7F"/>
    <w:rsid w:val="0084036C"/>
    <w:rsid w:val="008455A8"/>
    <w:rsid w:val="008600B8"/>
    <w:rsid w:val="00860D09"/>
    <w:rsid w:val="00863351"/>
    <w:rsid w:val="0086450F"/>
    <w:rsid w:val="008675DE"/>
    <w:rsid w:val="00870B39"/>
    <w:rsid w:val="00870BB3"/>
    <w:rsid w:val="00872A79"/>
    <w:rsid w:val="0087550D"/>
    <w:rsid w:val="008948EA"/>
    <w:rsid w:val="0089615E"/>
    <w:rsid w:val="008A40C6"/>
    <w:rsid w:val="008A78F2"/>
    <w:rsid w:val="008B0EE3"/>
    <w:rsid w:val="008C0910"/>
    <w:rsid w:val="008C2065"/>
    <w:rsid w:val="008C29E8"/>
    <w:rsid w:val="008E69BF"/>
    <w:rsid w:val="008F1713"/>
    <w:rsid w:val="00902239"/>
    <w:rsid w:val="00907404"/>
    <w:rsid w:val="009219E7"/>
    <w:rsid w:val="00930697"/>
    <w:rsid w:val="00933462"/>
    <w:rsid w:val="00946E65"/>
    <w:rsid w:val="0095512F"/>
    <w:rsid w:val="0095631A"/>
    <w:rsid w:val="00956875"/>
    <w:rsid w:val="009601E3"/>
    <w:rsid w:val="0096387B"/>
    <w:rsid w:val="009713FB"/>
    <w:rsid w:val="00974C38"/>
    <w:rsid w:val="00976C71"/>
    <w:rsid w:val="009771B3"/>
    <w:rsid w:val="00993D57"/>
    <w:rsid w:val="00993EA1"/>
    <w:rsid w:val="00997464"/>
    <w:rsid w:val="009A3BBB"/>
    <w:rsid w:val="009B1406"/>
    <w:rsid w:val="009C52A1"/>
    <w:rsid w:val="009D04D1"/>
    <w:rsid w:val="009D0C70"/>
    <w:rsid w:val="009D22EB"/>
    <w:rsid w:val="009D3989"/>
    <w:rsid w:val="009D3D4E"/>
    <w:rsid w:val="009D4C35"/>
    <w:rsid w:val="009E3854"/>
    <w:rsid w:val="009E564C"/>
    <w:rsid w:val="009E6245"/>
    <w:rsid w:val="009F0A22"/>
    <w:rsid w:val="009F3E9D"/>
    <w:rsid w:val="009F598A"/>
    <w:rsid w:val="009F6827"/>
    <w:rsid w:val="009F766D"/>
    <w:rsid w:val="009F7AFD"/>
    <w:rsid w:val="009F7CC0"/>
    <w:rsid w:val="00A00301"/>
    <w:rsid w:val="00A04881"/>
    <w:rsid w:val="00A12580"/>
    <w:rsid w:val="00A165BB"/>
    <w:rsid w:val="00A1697E"/>
    <w:rsid w:val="00A16DFC"/>
    <w:rsid w:val="00A24AB2"/>
    <w:rsid w:val="00A30352"/>
    <w:rsid w:val="00A317F9"/>
    <w:rsid w:val="00A31E2A"/>
    <w:rsid w:val="00A44FF3"/>
    <w:rsid w:val="00A4564F"/>
    <w:rsid w:val="00A53786"/>
    <w:rsid w:val="00A541D6"/>
    <w:rsid w:val="00A61121"/>
    <w:rsid w:val="00A652B4"/>
    <w:rsid w:val="00A67421"/>
    <w:rsid w:val="00A72FF9"/>
    <w:rsid w:val="00A80AA5"/>
    <w:rsid w:val="00A810DB"/>
    <w:rsid w:val="00A850F9"/>
    <w:rsid w:val="00A9386D"/>
    <w:rsid w:val="00A9452D"/>
    <w:rsid w:val="00A95335"/>
    <w:rsid w:val="00A954A1"/>
    <w:rsid w:val="00AA3FCF"/>
    <w:rsid w:val="00AA4C0E"/>
    <w:rsid w:val="00AA4EEF"/>
    <w:rsid w:val="00AB265D"/>
    <w:rsid w:val="00AD1B45"/>
    <w:rsid w:val="00AD7509"/>
    <w:rsid w:val="00AE0F14"/>
    <w:rsid w:val="00AE70D1"/>
    <w:rsid w:val="00AE7629"/>
    <w:rsid w:val="00B00010"/>
    <w:rsid w:val="00B001A0"/>
    <w:rsid w:val="00B03090"/>
    <w:rsid w:val="00B07E95"/>
    <w:rsid w:val="00B10D8F"/>
    <w:rsid w:val="00B112F4"/>
    <w:rsid w:val="00B11532"/>
    <w:rsid w:val="00B14904"/>
    <w:rsid w:val="00B17AF8"/>
    <w:rsid w:val="00B20211"/>
    <w:rsid w:val="00B21DC1"/>
    <w:rsid w:val="00B2269D"/>
    <w:rsid w:val="00B34785"/>
    <w:rsid w:val="00B3505E"/>
    <w:rsid w:val="00B37091"/>
    <w:rsid w:val="00B37C7B"/>
    <w:rsid w:val="00B40842"/>
    <w:rsid w:val="00B638DC"/>
    <w:rsid w:val="00B65B4E"/>
    <w:rsid w:val="00B77999"/>
    <w:rsid w:val="00B82973"/>
    <w:rsid w:val="00B84642"/>
    <w:rsid w:val="00B87D23"/>
    <w:rsid w:val="00B900DE"/>
    <w:rsid w:val="00B91C3E"/>
    <w:rsid w:val="00B92EAE"/>
    <w:rsid w:val="00B937A7"/>
    <w:rsid w:val="00B97E16"/>
    <w:rsid w:val="00BB69FE"/>
    <w:rsid w:val="00BB7432"/>
    <w:rsid w:val="00BB7E2D"/>
    <w:rsid w:val="00BC2DC3"/>
    <w:rsid w:val="00BC416E"/>
    <w:rsid w:val="00BC48D7"/>
    <w:rsid w:val="00BC5E04"/>
    <w:rsid w:val="00BC63D2"/>
    <w:rsid w:val="00BD43E3"/>
    <w:rsid w:val="00BE2080"/>
    <w:rsid w:val="00BE581D"/>
    <w:rsid w:val="00BF4D63"/>
    <w:rsid w:val="00BF7F91"/>
    <w:rsid w:val="00C033C7"/>
    <w:rsid w:val="00C042F0"/>
    <w:rsid w:val="00C045CF"/>
    <w:rsid w:val="00C07D38"/>
    <w:rsid w:val="00C120F3"/>
    <w:rsid w:val="00C23E31"/>
    <w:rsid w:val="00C24138"/>
    <w:rsid w:val="00C30F8D"/>
    <w:rsid w:val="00C4636E"/>
    <w:rsid w:val="00C4736B"/>
    <w:rsid w:val="00C50C41"/>
    <w:rsid w:val="00C50FDD"/>
    <w:rsid w:val="00C52AB2"/>
    <w:rsid w:val="00C661B2"/>
    <w:rsid w:val="00C72E04"/>
    <w:rsid w:val="00C73BE4"/>
    <w:rsid w:val="00C76836"/>
    <w:rsid w:val="00C90D0F"/>
    <w:rsid w:val="00C91E35"/>
    <w:rsid w:val="00C91FC1"/>
    <w:rsid w:val="00CB6BD9"/>
    <w:rsid w:val="00CB739F"/>
    <w:rsid w:val="00CC20C5"/>
    <w:rsid w:val="00CC2A72"/>
    <w:rsid w:val="00CC79DD"/>
    <w:rsid w:val="00CD2A66"/>
    <w:rsid w:val="00CD3AC2"/>
    <w:rsid w:val="00CE425D"/>
    <w:rsid w:val="00CE5E54"/>
    <w:rsid w:val="00CF4033"/>
    <w:rsid w:val="00CF5444"/>
    <w:rsid w:val="00D02868"/>
    <w:rsid w:val="00D04E9E"/>
    <w:rsid w:val="00D1297D"/>
    <w:rsid w:val="00D1529F"/>
    <w:rsid w:val="00D1741E"/>
    <w:rsid w:val="00D222BD"/>
    <w:rsid w:val="00D326B8"/>
    <w:rsid w:val="00D35E07"/>
    <w:rsid w:val="00D371F2"/>
    <w:rsid w:val="00D40EFC"/>
    <w:rsid w:val="00D44A6C"/>
    <w:rsid w:val="00D46AA5"/>
    <w:rsid w:val="00D65654"/>
    <w:rsid w:val="00D81AE1"/>
    <w:rsid w:val="00D91CF8"/>
    <w:rsid w:val="00D925A8"/>
    <w:rsid w:val="00D96E2A"/>
    <w:rsid w:val="00D97801"/>
    <w:rsid w:val="00DA6523"/>
    <w:rsid w:val="00DB0B3E"/>
    <w:rsid w:val="00DB38ED"/>
    <w:rsid w:val="00DC649F"/>
    <w:rsid w:val="00DD1147"/>
    <w:rsid w:val="00DD275C"/>
    <w:rsid w:val="00DD5926"/>
    <w:rsid w:val="00DE752E"/>
    <w:rsid w:val="00DF0E00"/>
    <w:rsid w:val="00DF2CD4"/>
    <w:rsid w:val="00DF34AD"/>
    <w:rsid w:val="00DF5F82"/>
    <w:rsid w:val="00E05150"/>
    <w:rsid w:val="00E10A01"/>
    <w:rsid w:val="00E11CBF"/>
    <w:rsid w:val="00E17AD1"/>
    <w:rsid w:val="00E2451F"/>
    <w:rsid w:val="00E259BE"/>
    <w:rsid w:val="00E30565"/>
    <w:rsid w:val="00E4173A"/>
    <w:rsid w:val="00E458D9"/>
    <w:rsid w:val="00E4708E"/>
    <w:rsid w:val="00E56188"/>
    <w:rsid w:val="00E66D0F"/>
    <w:rsid w:val="00E709E6"/>
    <w:rsid w:val="00E74B1B"/>
    <w:rsid w:val="00E74F3A"/>
    <w:rsid w:val="00E77192"/>
    <w:rsid w:val="00E834E5"/>
    <w:rsid w:val="00E90AA7"/>
    <w:rsid w:val="00E97CB7"/>
    <w:rsid w:val="00EB6D2F"/>
    <w:rsid w:val="00ED213F"/>
    <w:rsid w:val="00ED247F"/>
    <w:rsid w:val="00ED5D71"/>
    <w:rsid w:val="00EE2DCF"/>
    <w:rsid w:val="00EE3438"/>
    <w:rsid w:val="00EE48EE"/>
    <w:rsid w:val="00EF26A6"/>
    <w:rsid w:val="00F04298"/>
    <w:rsid w:val="00F04AA0"/>
    <w:rsid w:val="00F1159A"/>
    <w:rsid w:val="00F1569E"/>
    <w:rsid w:val="00F20AC6"/>
    <w:rsid w:val="00F2269B"/>
    <w:rsid w:val="00F22B94"/>
    <w:rsid w:val="00F2394F"/>
    <w:rsid w:val="00F3320E"/>
    <w:rsid w:val="00F342E2"/>
    <w:rsid w:val="00F34A52"/>
    <w:rsid w:val="00F34BD4"/>
    <w:rsid w:val="00F412C0"/>
    <w:rsid w:val="00F43DB3"/>
    <w:rsid w:val="00F44D1A"/>
    <w:rsid w:val="00F45A7B"/>
    <w:rsid w:val="00F61B5D"/>
    <w:rsid w:val="00F71154"/>
    <w:rsid w:val="00F72480"/>
    <w:rsid w:val="00F73D12"/>
    <w:rsid w:val="00F76AC4"/>
    <w:rsid w:val="00F87211"/>
    <w:rsid w:val="00F92BE9"/>
    <w:rsid w:val="00F94FAF"/>
    <w:rsid w:val="00FA0761"/>
    <w:rsid w:val="00FA30EC"/>
    <w:rsid w:val="00FA3473"/>
    <w:rsid w:val="00FA490C"/>
    <w:rsid w:val="00FA4CF0"/>
    <w:rsid w:val="00FA65B1"/>
    <w:rsid w:val="00FA69A2"/>
    <w:rsid w:val="00FB4EFD"/>
    <w:rsid w:val="00FC4278"/>
    <w:rsid w:val="00FD1318"/>
    <w:rsid w:val="00FD14CC"/>
    <w:rsid w:val="00FD20FC"/>
    <w:rsid w:val="00FE1AE1"/>
    <w:rsid w:val="00FE69F7"/>
    <w:rsid w:val="00FF0E3F"/>
    <w:rsid w:val="00FF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C51"/>
    <w:rPr>
      <w:sz w:val="24"/>
    </w:rPr>
  </w:style>
  <w:style w:type="paragraph" w:styleId="Heading1">
    <w:name w:val="heading 1"/>
    <w:aliases w:val="Part"/>
    <w:basedOn w:val="Normal"/>
    <w:next w:val="Heading2"/>
    <w:qFormat/>
    <w:rsid w:val="004E5846"/>
    <w:pPr>
      <w:spacing w:after="240"/>
      <w:jc w:val="center"/>
      <w:outlineLvl w:val="0"/>
    </w:pPr>
    <w:rPr>
      <w:rFonts w:ascii="Arial" w:hAnsi="Arial"/>
      <w:b/>
      <w:sz w:val="32"/>
    </w:rPr>
  </w:style>
  <w:style w:type="paragraph" w:styleId="Heading2">
    <w:name w:val="heading 2"/>
    <w:aliases w:val="Chapter Title"/>
    <w:basedOn w:val="Normal"/>
    <w:next w:val="Heading4"/>
    <w:qFormat/>
    <w:rsid w:val="004E5846"/>
    <w:pPr>
      <w:spacing w:after="240"/>
      <w:jc w:val="center"/>
      <w:outlineLvl w:val="1"/>
    </w:pPr>
    <w:rPr>
      <w:rFonts w:ascii="Arial" w:hAnsi="Arial"/>
      <w:b/>
      <w:sz w:val="32"/>
    </w:rPr>
  </w:style>
  <w:style w:type="paragraph" w:styleId="Heading3">
    <w:name w:val="heading 3"/>
    <w:aliases w:val="Section"/>
    <w:basedOn w:val="Normal"/>
    <w:next w:val="Heading4"/>
    <w:qFormat/>
    <w:rsid w:val="004E5846"/>
    <w:pPr>
      <w:spacing w:after="240"/>
      <w:jc w:val="center"/>
      <w:outlineLvl w:val="2"/>
    </w:pPr>
    <w:rPr>
      <w:rFonts w:ascii="Arial" w:hAnsi="Arial"/>
      <w:b/>
      <w:sz w:val="32"/>
    </w:rPr>
  </w:style>
  <w:style w:type="paragraph" w:styleId="Heading4">
    <w:name w:val="heading 4"/>
    <w:aliases w:val="Map Title"/>
    <w:basedOn w:val="Normal"/>
    <w:next w:val="Normal"/>
    <w:qFormat/>
    <w:rsid w:val="004E5846"/>
    <w:pPr>
      <w:spacing w:after="240"/>
      <w:outlineLvl w:val="3"/>
    </w:pPr>
    <w:rPr>
      <w:rFonts w:ascii="Arial" w:hAnsi="Arial"/>
    </w:rPr>
  </w:style>
  <w:style w:type="paragraph" w:styleId="Heading5">
    <w:name w:val="heading 5"/>
    <w:aliases w:val="Block Label"/>
    <w:basedOn w:val="Normal"/>
    <w:next w:val="Normal"/>
    <w:qFormat/>
    <w:rsid w:val="004E5846"/>
    <w:pPr>
      <w:outlineLvl w:val="4"/>
    </w:pPr>
    <w:rPr>
      <w:b/>
      <w:sz w:val="22"/>
    </w:rPr>
  </w:style>
  <w:style w:type="paragraph" w:styleId="Heading6">
    <w:name w:val="heading 6"/>
    <w:basedOn w:val="Normal"/>
    <w:next w:val="Normal"/>
    <w:qFormat/>
    <w:rsid w:val="004E5846"/>
    <w:pPr>
      <w:spacing w:before="240" w:after="60"/>
      <w:outlineLvl w:val="5"/>
    </w:pPr>
    <w:rPr>
      <w:i/>
      <w:sz w:val="22"/>
    </w:rPr>
  </w:style>
  <w:style w:type="paragraph" w:styleId="Heading7">
    <w:name w:val="heading 7"/>
    <w:basedOn w:val="Normal"/>
    <w:next w:val="Normal"/>
    <w:qFormat/>
    <w:rsid w:val="004E5846"/>
    <w:pPr>
      <w:spacing w:before="240" w:after="60"/>
      <w:outlineLvl w:val="6"/>
    </w:pPr>
    <w:rPr>
      <w:rFonts w:ascii="Arial" w:hAnsi="Arial"/>
      <w:sz w:val="20"/>
    </w:rPr>
  </w:style>
  <w:style w:type="paragraph" w:styleId="Heading8">
    <w:name w:val="heading 8"/>
    <w:basedOn w:val="Normal"/>
    <w:next w:val="Normal"/>
    <w:qFormat/>
    <w:rsid w:val="004E5846"/>
    <w:pPr>
      <w:spacing w:before="240" w:after="60"/>
      <w:outlineLvl w:val="7"/>
    </w:pPr>
    <w:rPr>
      <w:rFonts w:ascii="Arial" w:hAnsi="Arial"/>
      <w:i/>
      <w:sz w:val="20"/>
    </w:rPr>
  </w:style>
  <w:style w:type="paragraph" w:styleId="Heading9">
    <w:name w:val="heading 9"/>
    <w:basedOn w:val="Normal"/>
    <w:next w:val="Normal"/>
    <w:qFormat/>
    <w:rsid w:val="004E584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5846"/>
    <w:pPr>
      <w:tabs>
        <w:tab w:val="center" w:pos="4320"/>
        <w:tab w:val="right" w:pos="8640"/>
      </w:tabs>
    </w:pPr>
  </w:style>
  <w:style w:type="paragraph" w:styleId="MacroText">
    <w:name w:val="macro"/>
    <w:semiHidden/>
    <w:rsid w:val="004E58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E5846"/>
    <w:pPr>
      <w:pBdr>
        <w:top w:val="single" w:sz="6" w:space="1" w:color="auto"/>
        <w:between w:val="single" w:sz="6" w:space="1" w:color="auto"/>
      </w:pBdr>
      <w:spacing w:before="240"/>
      <w:ind w:left="1700"/>
    </w:pPr>
  </w:style>
  <w:style w:type="paragraph" w:styleId="BlockText">
    <w:name w:val="Block Text"/>
    <w:basedOn w:val="Normal"/>
    <w:uiPriority w:val="99"/>
    <w:rsid w:val="004E5846"/>
  </w:style>
  <w:style w:type="paragraph" w:customStyle="1" w:styleId="BulletText1">
    <w:name w:val="Bullet Text 1"/>
    <w:basedOn w:val="Normal"/>
    <w:rsid w:val="004E5846"/>
    <w:pPr>
      <w:ind w:left="187" w:hanging="187"/>
    </w:pPr>
  </w:style>
  <w:style w:type="paragraph" w:customStyle="1" w:styleId="BulletText2">
    <w:name w:val="Bullet Text 2"/>
    <w:basedOn w:val="BulletText1"/>
    <w:rsid w:val="004E5846"/>
    <w:pPr>
      <w:ind w:left="360"/>
    </w:pPr>
  </w:style>
  <w:style w:type="paragraph" w:customStyle="1" w:styleId="ContinuedOnNextPa">
    <w:name w:val="Continued On Next Pa"/>
    <w:basedOn w:val="Normal"/>
    <w:next w:val="Normal"/>
    <w:rsid w:val="004E5846"/>
    <w:pPr>
      <w:pBdr>
        <w:top w:val="single" w:sz="6" w:space="1" w:color="auto"/>
        <w:between w:val="single" w:sz="6" w:space="1" w:color="auto"/>
      </w:pBdr>
      <w:ind w:left="1700"/>
      <w:jc w:val="right"/>
    </w:pPr>
    <w:rPr>
      <w:i/>
      <w:sz w:val="20"/>
    </w:rPr>
  </w:style>
  <w:style w:type="paragraph" w:customStyle="1" w:styleId="ContinuedTableLabe">
    <w:name w:val="Continued Table Labe"/>
    <w:basedOn w:val="Heading4"/>
    <w:rsid w:val="0069030B"/>
    <w:rPr>
      <w:b/>
      <w:sz w:val="32"/>
    </w:rPr>
  </w:style>
  <w:style w:type="paragraph" w:customStyle="1" w:styleId="MapTitleContinued">
    <w:name w:val="Map Title. Continued"/>
    <w:basedOn w:val="Normal"/>
    <w:rsid w:val="004E5846"/>
    <w:pPr>
      <w:spacing w:after="240"/>
    </w:pPr>
    <w:rPr>
      <w:rFonts w:ascii="Helvetica" w:hAnsi="Helvetica"/>
      <w:b/>
      <w:sz w:val="32"/>
    </w:rPr>
  </w:style>
  <w:style w:type="paragraph" w:customStyle="1" w:styleId="MemoLine">
    <w:name w:val="Memo Line"/>
    <w:basedOn w:val="BlockLine"/>
    <w:next w:val="Normal"/>
    <w:rsid w:val="004E5846"/>
    <w:pPr>
      <w:ind w:left="0"/>
    </w:pPr>
  </w:style>
  <w:style w:type="paragraph" w:styleId="Footer">
    <w:name w:val="footer"/>
    <w:basedOn w:val="Normal"/>
    <w:rsid w:val="004E5846"/>
    <w:pPr>
      <w:tabs>
        <w:tab w:val="center" w:pos="4320"/>
        <w:tab w:val="right" w:pos="8640"/>
      </w:tabs>
    </w:pPr>
  </w:style>
  <w:style w:type="character" w:styleId="PageNumber">
    <w:name w:val="page number"/>
    <w:basedOn w:val="DefaultParagraphFont"/>
    <w:rsid w:val="004E5846"/>
  </w:style>
  <w:style w:type="paragraph" w:customStyle="1" w:styleId="TableText">
    <w:name w:val="Table Text"/>
    <w:basedOn w:val="Normal"/>
    <w:rsid w:val="004E5846"/>
  </w:style>
  <w:style w:type="paragraph" w:customStyle="1" w:styleId="NoteText">
    <w:name w:val="Note Text"/>
    <w:basedOn w:val="BlockText"/>
    <w:rsid w:val="004E5846"/>
  </w:style>
  <w:style w:type="paragraph" w:customStyle="1" w:styleId="TableHeaderText">
    <w:name w:val="Table Header Text"/>
    <w:basedOn w:val="TableText"/>
    <w:rsid w:val="004E5846"/>
    <w:pPr>
      <w:jc w:val="center"/>
    </w:pPr>
    <w:rPr>
      <w:b/>
    </w:rPr>
  </w:style>
  <w:style w:type="paragraph" w:customStyle="1" w:styleId="EmbeddedText">
    <w:name w:val="Embedded Text"/>
    <w:basedOn w:val="TableText"/>
    <w:rsid w:val="004E5846"/>
  </w:style>
  <w:style w:type="paragraph" w:styleId="TOC1">
    <w:name w:val="toc 1"/>
    <w:basedOn w:val="Normal"/>
    <w:next w:val="Normal"/>
    <w:semiHidden/>
    <w:rsid w:val="004E5846"/>
    <w:pPr>
      <w:tabs>
        <w:tab w:val="right" w:leader="dot" w:pos="10800"/>
      </w:tabs>
    </w:pPr>
  </w:style>
  <w:style w:type="paragraph" w:styleId="TOC2">
    <w:name w:val="toc 2"/>
    <w:basedOn w:val="Normal"/>
    <w:next w:val="Normal"/>
    <w:semiHidden/>
    <w:rsid w:val="004E5846"/>
    <w:pPr>
      <w:tabs>
        <w:tab w:val="right" w:leader="dot" w:pos="10800"/>
      </w:tabs>
      <w:ind w:left="240"/>
    </w:pPr>
  </w:style>
  <w:style w:type="paragraph" w:styleId="BodyText3">
    <w:name w:val="Body Text 3"/>
    <w:basedOn w:val="Normal"/>
    <w:rsid w:val="004E5846"/>
    <w:rPr>
      <w:b/>
      <w:sz w:val="18"/>
    </w:rPr>
  </w:style>
  <w:style w:type="paragraph" w:styleId="BodyText2">
    <w:name w:val="Body Text 2"/>
    <w:basedOn w:val="Normal"/>
    <w:rsid w:val="004E5846"/>
    <w:rPr>
      <w:b/>
      <w:sz w:val="16"/>
    </w:rPr>
  </w:style>
  <w:style w:type="paragraph" w:styleId="Title">
    <w:name w:val="Title"/>
    <w:basedOn w:val="Normal"/>
    <w:qFormat/>
    <w:rsid w:val="004E5846"/>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4E5846"/>
    <w:rPr>
      <w:color w:val="0000FF"/>
      <w:u w:val="single"/>
    </w:rPr>
  </w:style>
  <w:style w:type="paragraph" w:customStyle="1" w:styleId="Extmemo">
    <w:name w:val="Extmemo"/>
    <w:basedOn w:val="Normal"/>
    <w:rsid w:val="004E5846"/>
    <w:pPr>
      <w:spacing w:line="240" w:lineRule="exact"/>
    </w:pPr>
    <w:rPr>
      <w:rFonts w:ascii="Times" w:hAnsi="Times"/>
    </w:rPr>
  </w:style>
  <w:style w:type="paragraph" w:styleId="PlainText">
    <w:name w:val="Plain Text"/>
    <w:basedOn w:val="Normal"/>
    <w:link w:val="PlainTextChar"/>
    <w:uiPriority w:val="99"/>
    <w:rsid w:val="004E5846"/>
    <w:rPr>
      <w:rFonts w:ascii="Courier New" w:hAnsi="Courier New"/>
      <w:sz w:val="20"/>
    </w:rPr>
  </w:style>
  <w:style w:type="character" w:styleId="FollowedHyperlink">
    <w:name w:val="FollowedHyperlink"/>
    <w:basedOn w:val="DefaultParagraphFont"/>
    <w:rsid w:val="004E5846"/>
    <w:rPr>
      <w:color w:val="800080"/>
      <w:u w:val="single"/>
    </w:rPr>
  </w:style>
  <w:style w:type="paragraph" w:styleId="DocumentMap">
    <w:name w:val="Document Map"/>
    <w:basedOn w:val="Normal"/>
    <w:semiHidden/>
    <w:rsid w:val="004E5846"/>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D3AC2"/>
    <w:pPr>
      <w:spacing w:before="100" w:beforeAutospacing="1" w:after="100" w:afterAutospacing="1"/>
    </w:pPr>
    <w:rPr>
      <w:szCs w:val="24"/>
    </w:rPr>
  </w:style>
  <w:style w:type="character" w:styleId="Emphasis">
    <w:name w:val="Emphasis"/>
    <w:basedOn w:val="DefaultParagraphFont"/>
    <w:qFormat/>
    <w:rsid w:val="00CD3AC2"/>
    <w:rPr>
      <w:i/>
      <w:iCs/>
    </w:rPr>
  </w:style>
  <w:style w:type="paragraph" w:styleId="NoSpacing">
    <w:name w:val="No Spacing"/>
    <w:basedOn w:val="Normal"/>
    <w:uiPriority w:val="1"/>
    <w:qFormat/>
    <w:rsid w:val="002B69A0"/>
    <w:rPr>
      <w:rFonts w:ascii="Calibri" w:eastAsia="Calibri" w:hAnsi="Calibri"/>
      <w:sz w:val="22"/>
      <w:szCs w:val="22"/>
    </w:rPr>
  </w:style>
  <w:style w:type="paragraph" w:styleId="ListParagraph">
    <w:name w:val="List Paragraph"/>
    <w:basedOn w:val="Normal"/>
    <w:uiPriority w:val="34"/>
    <w:qFormat/>
    <w:rsid w:val="00AA4EEF"/>
    <w:pPr>
      <w:ind w:left="720"/>
      <w:contextualSpacing/>
    </w:pPr>
  </w:style>
  <w:style w:type="paragraph" w:customStyle="1" w:styleId="BodySingle">
    <w:name w:val="BodySingle"/>
    <w:rsid w:val="00310A2A"/>
    <w:rPr>
      <w:rFonts w:ascii="Arial" w:hAnsi="Arial"/>
      <w:sz w:val="24"/>
    </w:rPr>
  </w:style>
  <w:style w:type="character" w:customStyle="1" w:styleId="PlainTextChar">
    <w:name w:val="Plain Text Char"/>
    <w:basedOn w:val="DefaultParagraphFont"/>
    <w:link w:val="PlainText"/>
    <w:uiPriority w:val="99"/>
    <w:rsid w:val="006A3C0D"/>
    <w:rPr>
      <w:rFonts w:ascii="Courier New" w:hAnsi="Courier New"/>
    </w:rPr>
  </w:style>
  <w:style w:type="paragraph" w:customStyle="1" w:styleId="Default">
    <w:name w:val="Default"/>
    <w:rsid w:val="00164F16"/>
    <w:pPr>
      <w:autoSpaceDE w:val="0"/>
      <w:autoSpaceDN w:val="0"/>
      <w:adjustRightInd w:val="0"/>
    </w:pPr>
    <w:rPr>
      <w:color w:val="000000"/>
      <w:sz w:val="24"/>
      <w:szCs w:val="24"/>
    </w:rPr>
  </w:style>
  <w:style w:type="paragraph" w:styleId="Bibliography">
    <w:name w:val="Bibliography"/>
    <w:basedOn w:val="Normal"/>
    <w:next w:val="Normal"/>
    <w:uiPriority w:val="37"/>
    <w:semiHidden/>
    <w:unhideWhenUsed/>
    <w:rsid w:val="001C7D6A"/>
  </w:style>
  <w:style w:type="paragraph" w:styleId="BodyText">
    <w:name w:val="Body Text"/>
    <w:basedOn w:val="Normal"/>
    <w:link w:val="BodyTextChar"/>
    <w:rsid w:val="001C7D6A"/>
    <w:pPr>
      <w:spacing w:after="120"/>
    </w:pPr>
  </w:style>
  <w:style w:type="character" w:customStyle="1" w:styleId="BodyTextChar">
    <w:name w:val="Body Text Char"/>
    <w:basedOn w:val="DefaultParagraphFont"/>
    <w:link w:val="BodyText"/>
    <w:rsid w:val="001C7D6A"/>
    <w:rPr>
      <w:sz w:val="24"/>
    </w:rPr>
  </w:style>
  <w:style w:type="paragraph" w:styleId="BodyTextFirstIndent">
    <w:name w:val="Body Text First Indent"/>
    <w:basedOn w:val="BodyText"/>
    <w:link w:val="BodyTextFirstIndentChar"/>
    <w:rsid w:val="001C7D6A"/>
    <w:pPr>
      <w:spacing w:after="0"/>
      <w:ind w:firstLine="360"/>
    </w:pPr>
  </w:style>
  <w:style w:type="character" w:customStyle="1" w:styleId="BodyTextFirstIndentChar">
    <w:name w:val="Body Text First Indent Char"/>
    <w:basedOn w:val="BodyTextChar"/>
    <w:link w:val="BodyTextFirstIndent"/>
    <w:rsid w:val="001C7D6A"/>
  </w:style>
  <w:style w:type="paragraph" w:styleId="BodyTextIndent">
    <w:name w:val="Body Text Indent"/>
    <w:basedOn w:val="Normal"/>
    <w:link w:val="BodyTextIndentChar"/>
    <w:rsid w:val="001C7D6A"/>
    <w:pPr>
      <w:spacing w:after="120"/>
      <w:ind w:left="360"/>
    </w:pPr>
  </w:style>
  <w:style w:type="character" w:customStyle="1" w:styleId="BodyTextIndentChar">
    <w:name w:val="Body Text Indent Char"/>
    <w:basedOn w:val="DefaultParagraphFont"/>
    <w:link w:val="BodyTextIndent"/>
    <w:rsid w:val="001C7D6A"/>
    <w:rPr>
      <w:sz w:val="24"/>
    </w:rPr>
  </w:style>
  <w:style w:type="paragraph" w:styleId="BodyTextFirstIndent2">
    <w:name w:val="Body Text First Indent 2"/>
    <w:basedOn w:val="BodyTextIndent"/>
    <w:link w:val="BodyTextFirstIndent2Char"/>
    <w:rsid w:val="001C7D6A"/>
    <w:pPr>
      <w:spacing w:after="0"/>
      <w:ind w:firstLine="360"/>
    </w:pPr>
  </w:style>
  <w:style w:type="character" w:customStyle="1" w:styleId="BodyTextFirstIndent2Char">
    <w:name w:val="Body Text First Indent 2 Char"/>
    <w:basedOn w:val="BodyTextIndentChar"/>
    <w:link w:val="BodyTextFirstIndent2"/>
    <w:rsid w:val="001C7D6A"/>
  </w:style>
  <w:style w:type="paragraph" w:styleId="BodyTextIndent2">
    <w:name w:val="Body Text Indent 2"/>
    <w:basedOn w:val="Normal"/>
    <w:link w:val="BodyTextIndent2Char"/>
    <w:rsid w:val="001C7D6A"/>
    <w:pPr>
      <w:spacing w:after="120" w:line="480" w:lineRule="auto"/>
      <w:ind w:left="360"/>
    </w:pPr>
  </w:style>
  <w:style w:type="character" w:customStyle="1" w:styleId="BodyTextIndent2Char">
    <w:name w:val="Body Text Indent 2 Char"/>
    <w:basedOn w:val="DefaultParagraphFont"/>
    <w:link w:val="BodyTextIndent2"/>
    <w:rsid w:val="001C7D6A"/>
    <w:rPr>
      <w:sz w:val="24"/>
    </w:rPr>
  </w:style>
  <w:style w:type="paragraph" w:styleId="BodyTextIndent3">
    <w:name w:val="Body Text Indent 3"/>
    <w:basedOn w:val="Normal"/>
    <w:link w:val="BodyTextIndent3Char"/>
    <w:rsid w:val="001C7D6A"/>
    <w:pPr>
      <w:spacing w:after="120"/>
      <w:ind w:left="360"/>
    </w:pPr>
    <w:rPr>
      <w:sz w:val="16"/>
      <w:szCs w:val="16"/>
    </w:rPr>
  </w:style>
  <w:style w:type="character" w:customStyle="1" w:styleId="BodyTextIndent3Char">
    <w:name w:val="Body Text Indent 3 Char"/>
    <w:basedOn w:val="DefaultParagraphFont"/>
    <w:link w:val="BodyTextIndent3"/>
    <w:rsid w:val="001C7D6A"/>
    <w:rPr>
      <w:sz w:val="16"/>
      <w:szCs w:val="16"/>
    </w:rPr>
  </w:style>
  <w:style w:type="paragraph" w:styleId="Caption">
    <w:name w:val="caption"/>
    <w:basedOn w:val="Normal"/>
    <w:next w:val="Normal"/>
    <w:semiHidden/>
    <w:unhideWhenUsed/>
    <w:qFormat/>
    <w:rsid w:val="001C7D6A"/>
    <w:pPr>
      <w:spacing w:after="200"/>
    </w:pPr>
    <w:rPr>
      <w:b/>
      <w:bCs/>
      <w:color w:val="4F81BD" w:themeColor="accent1"/>
      <w:sz w:val="18"/>
      <w:szCs w:val="18"/>
    </w:rPr>
  </w:style>
  <w:style w:type="paragraph" w:styleId="Closing">
    <w:name w:val="Closing"/>
    <w:basedOn w:val="Normal"/>
    <w:link w:val="ClosingChar"/>
    <w:rsid w:val="001C7D6A"/>
    <w:pPr>
      <w:ind w:left="4320"/>
    </w:pPr>
  </w:style>
  <w:style w:type="character" w:customStyle="1" w:styleId="ClosingChar">
    <w:name w:val="Closing Char"/>
    <w:basedOn w:val="DefaultParagraphFont"/>
    <w:link w:val="Closing"/>
    <w:rsid w:val="001C7D6A"/>
    <w:rPr>
      <w:sz w:val="24"/>
    </w:rPr>
  </w:style>
  <w:style w:type="paragraph" w:styleId="CommentText">
    <w:name w:val="annotation text"/>
    <w:basedOn w:val="Normal"/>
    <w:link w:val="CommentTextChar"/>
    <w:rsid w:val="001C7D6A"/>
    <w:rPr>
      <w:sz w:val="20"/>
    </w:rPr>
  </w:style>
  <w:style w:type="character" w:customStyle="1" w:styleId="CommentTextChar">
    <w:name w:val="Comment Text Char"/>
    <w:basedOn w:val="DefaultParagraphFont"/>
    <w:link w:val="CommentText"/>
    <w:rsid w:val="001C7D6A"/>
  </w:style>
  <w:style w:type="paragraph" w:styleId="CommentSubject">
    <w:name w:val="annotation subject"/>
    <w:basedOn w:val="CommentText"/>
    <w:next w:val="CommentText"/>
    <w:link w:val="CommentSubjectChar"/>
    <w:rsid w:val="001C7D6A"/>
    <w:rPr>
      <w:b/>
      <w:bCs/>
    </w:rPr>
  </w:style>
  <w:style w:type="character" w:customStyle="1" w:styleId="CommentSubjectChar">
    <w:name w:val="Comment Subject Char"/>
    <w:basedOn w:val="CommentTextChar"/>
    <w:link w:val="CommentSubject"/>
    <w:rsid w:val="001C7D6A"/>
    <w:rPr>
      <w:b/>
      <w:bCs/>
    </w:rPr>
  </w:style>
  <w:style w:type="paragraph" w:styleId="Date">
    <w:name w:val="Date"/>
    <w:basedOn w:val="Normal"/>
    <w:next w:val="Normal"/>
    <w:link w:val="DateChar"/>
    <w:rsid w:val="001C7D6A"/>
  </w:style>
  <w:style w:type="character" w:customStyle="1" w:styleId="DateChar">
    <w:name w:val="Date Char"/>
    <w:basedOn w:val="DefaultParagraphFont"/>
    <w:link w:val="Date"/>
    <w:rsid w:val="001C7D6A"/>
    <w:rPr>
      <w:sz w:val="24"/>
    </w:rPr>
  </w:style>
  <w:style w:type="paragraph" w:styleId="E-mailSignature">
    <w:name w:val="E-mail Signature"/>
    <w:basedOn w:val="Normal"/>
    <w:link w:val="E-mailSignatureChar"/>
    <w:rsid w:val="001C7D6A"/>
  </w:style>
  <w:style w:type="character" w:customStyle="1" w:styleId="E-mailSignatureChar">
    <w:name w:val="E-mail Signature Char"/>
    <w:basedOn w:val="DefaultParagraphFont"/>
    <w:link w:val="E-mailSignature"/>
    <w:rsid w:val="001C7D6A"/>
    <w:rPr>
      <w:sz w:val="24"/>
    </w:rPr>
  </w:style>
  <w:style w:type="paragraph" w:styleId="EndnoteText">
    <w:name w:val="endnote text"/>
    <w:basedOn w:val="Normal"/>
    <w:link w:val="EndnoteTextChar"/>
    <w:rsid w:val="001C7D6A"/>
    <w:rPr>
      <w:sz w:val="20"/>
    </w:rPr>
  </w:style>
  <w:style w:type="character" w:customStyle="1" w:styleId="EndnoteTextChar">
    <w:name w:val="Endnote Text Char"/>
    <w:basedOn w:val="DefaultParagraphFont"/>
    <w:link w:val="EndnoteText"/>
    <w:rsid w:val="001C7D6A"/>
  </w:style>
  <w:style w:type="paragraph" w:styleId="EnvelopeAddress">
    <w:name w:val="envelope address"/>
    <w:basedOn w:val="Normal"/>
    <w:rsid w:val="001C7D6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1C7D6A"/>
    <w:rPr>
      <w:rFonts w:asciiTheme="majorHAnsi" w:eastAsiaTheme="majorEastAsia" w:hAnsiTheme="majorHAnsi" w:cstheme="majorBidi"/>
      <w:sz w:val="20"/>
    </w:rPr>
  </w:style>
  <w:style w:type="paragraph" w:styleId="FootnoteText">
    <w:name w:val="footnote text"/>
    <w:basedOn w:val="Normal"/>
    <w:link w:val="FootnoteTextChar"/>
    <w:rsid w:val="001C7D6A"/>
    <w:rPr>
      <w:sz w:val="20"/>
    </w:rPr>
  </w:style>
  <w:style w:type="character" w:customStyle="1" w:styleId="FootnoteTextChar">
    <w:name w:val="Footnote Text Char"/>
    <w:basedOn w:val="DefaultParagraphFont"/>
    <w:link w:val="FootnoteText"/>
    <w:rsid w:val="001C7D6A"/>
  </w:style>
  <w:style w:type="paragraph" w:styleId="HTMLAddress">
    <w:name w:val="HTML Address"/>
    <w:basedOn w:val="Normal"/>
    <w:link w:val="HTMLAddressChar"/>
    <w:rsid w:val="001C7D6A"/>
    <w:rPr>
      <w:i/>
      <w:iCs/>
    </w:rPr>
  </w:style>
  <w:style w:type="character" w:customStyle="1" w:styleId="HTMLAddressChar">
    <w:name w:val="HTML Address Char"/>
    <w:basedOn w:val="DefaultParagraphFont"/>
    <w:link w:val="HTMLAddress"/>
    <w:rsid w:val="001C7D6A"/>
    <w:rPr>
      <w:i/>
      <w:iCs/>
      <w:sz w:val="24"/>
    </w:rPr>
  </w:style>
  <w:style w:type="paragraph" w:styleId="HTMLPreformatted">
    <w:name w:val="HTML Preformatted"/>
    <w:basedOn w:val="Normal"/>
    <w:link w:val="HTMLPreformattedChar"/>
    <w:rsid w:val="001C7D6A"/>
    <w:rPr>
      <w:rFonts w:ascii="Consolas" w:hAnsi="Consolas"/>
      <w:sz w:val="20"/>
    </w:rPr>
  </w:style>
  <w:style w:type="character" w:customStyle="1" w:styleId="HTMLPreformattedChar">
    <w:name w:val="HTML Preformatted Char"/>
    <w:basedOn w:val="DefaultParagraphFont"/>
    <w:link w:val="HTMLPreformatted"/>
    <w:rsid w:val="001C7D6A"/>
    <w:rPr>
      <w:rFonts w:ascii="Consolas" w:hAnsi="Consolas"/>
    </w:rPr>
  </w:style>
  <w:style w:type="paragraph" w:styleId="Index1">
    <w:name w:val="index 1"/>
    <w:basedOn w:val="Normal"/>
    <w:next w:val="Normal"/>
    <w:autoRedefine/>
    <w:rsid w:val="001C7D6A"/>
    <w:pPr>
      <w:ind w:left="240" w:hanging="240"/>
    </w:pPr>
  </w:style>
  <w:style w:type="paragraph" w:styleId="Index2">
    <w:name w:val="index 2"/>
    <w:basedOn w:val="Normal"/>
    <w:next w:val="Normal"/>
    <w:autoRedefine/>
    <w:rsid w:val="001C7D6A"/>
    <w:pPr>
      <w:ind w:left="480" w:hanging="240"/>
    </w:pPr>
  </w:style>
  <w:style w:type="paragraph" w:styleId="Index3">
    <w:name w:val="index 3"/>
    <w:basedOn w:val="Normal"/>
    <w:next w:val="Normal"/>
    <w:autoRedefine/>
    <w:rsid w:val="001C7D6A"/>
    <w:pPr>
      <w:ind w:left="720" w:hanging="240"/>
    </w:pPr>
  </w:style>
  <w:style w:type="paragraph" w:styleId="Index4">
    <w:name w:val="index 4"/>
    <w:basedOn w:val="Normal"/>
    <w:next w:val="Normal"/>
    <w:autoRedefine/>
    <w:rsid w:val="001C7D6A"/>
    <w:pPr>
      <w:ind w:left="960" w:hanging="240"/>
    </w:pPr>
  </w:style>
  <w:style w:type="paragraph" w:styleId="Index5">
    <w:name w:val="index 5"/>
    <w:basedOn w:val="Normal"/>
    <w:next w:val="Normal"/>
    <w:autoRedefine/>
    <w:rsid w:val="001C7D6A"/>
    <w:pPr>
      <w:ind w:left="1200" w:hanging="240"/>
    </w:pPr>
  </w:style>
  <w:style w:type="paragraph" w:styleId="Index6">
    <w:name w:val="index 6"/>
    <w:basedOn w:val="Normal"/>
    <w:next w:val="Normal"/>
    <w:autoRedefine/>
    <w:rsid w:val="001C7D6A"/>
    <w:pPr>
      <w:ind w:left="1440" w:hanging="240"/>
    </w:pPr>
  </w:style>
  <w:style w:type="paragraph" w:styleId="Index7">
    <w:name w:val="index 7"/>
    <w:basedOn w:val="Normal"/>
    <w:next w:val="Normal"/>
    <w:autoRedefine/>
    <w:rsid w:val="001C7D6A"/>
    <w:pPr>
      <w:ind w:left="1680" w:hanging="240"/>
    </w:pPr>
  </w:style>
  <w:style w:type="paragraph" w:styleId="Index8">
    <w:name w:val="index 8"/>
    <w:basedOn w:val="Normal"/>
    <w:next w:val="Normal"/>
    <w:autoRedefine/>
    <w:rsid w:val="001C7D6A"/>
    <w:pPr>
      <w:ind w:left="1920" w:hanging="240"/>
    </w:pPr>
  </w:style>
  <w:style w:type="paragraph" w:styleId="Index9">
    <w:name w:val="index 9"/>
    <w:basedOn w:val="Normal"/>
    <w:next w:val="Normal"/>
    <w:autoRedefine/>
    <w:rsid w:val="001C7D6A"/>
    <w:pPr>
      <w:ind w:left="2160" w:hanging="240"/>
    </w:pPr>
  </w:style>
  <w:style w:type="paragraph" w:styleId="IndexHeading">
    <w:name w:val="index heading"/>
    <w:basedOn w:val="Normal"/>
    <w:next w:val="Index1"/>
    <w:rsid w:val="001C7D6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C7D6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7D6A"/>
    <w:rPr>
      <w:b/>
      <w:bCs/>
      <w:i/>
      <w:iCs/>
      <w:color w:val="4F81BD" w:themeColor="accent1"/>
      <w:sz w:val="24"/>
    </w:rPr>
  </w:style>
  <w:style w:type="paragraph" w:styleId="List">
    <w:name w:val="List"/>
    <w:basedOn w:val="Normal"/>
    <w:rsid w:val="001C7D6A"/>
    <w:pPr>
      <w:ind w:left="360" w:hanging="360"/>
      <w:contextualSpacing/>
    </w:pPr>
  </w:style>
  <w:style w:type="paragraph" w:styleId="List2">
    <w:name w:val="List 2"/>
    <w:basedOn w:val="Normal"/>
    <w:rsid w:val="001C7D6A"/>
    <w:pPr>
      <w:ind w:left="720" w:hanging="360"/>
      <w:contextualSpacing/>
    </w:pPr>
  </w:style>
  <w:style w:type="paragraph" w:styleId="List3">
    <w:name w:val="List 3"/>
    <w:basedOn w:val="Normal"/>
    <w:rsid w:val="001C7D6A"/>
    <w:pPr>
      <w:ind w:left="1080" w:hanging="360"/>
      <w:contextualSpacing/>
    </w:pPr>
  </w:style>
  <w:style w:type="paragraph" w:styleId="List4">
    <w:name w:val="List 4"/>
    <w:basedOn w:val="Normal"/>
    <w:rsid w:val="001C7D6A"/>
    <w:pPr>
      <w:ind w:left="1440" w:hanging="360"/>
      <w:contextualSpacing/>
    </w:pPr>
  </w:style>
  <w:style w:type="paragraph" w:styleId="List5">
    <w:name w:val="List 5"/>
    <w:basedOn w:val="Normal"/>
    <w:rsid w:val="001C7D6A"/>
    <w:pPr>
      <w:ind w:left="1800" w:hanging="360"/>
      <w:contextualSpacing/>
    </w:pPr>
  </w:style>
  <w:style w:type="paragraph" w:styleId="ListBullet">
    <w:name w:val="List Bullet"/>
    <w:basedOn w:val="Normal"/>
    <w:rsid w:val="001C7D6A"/>
    <w:pPr>
      <w:numPr>
        <w:numId w:val="13"/>
      </w:numPr>
      <w:contextualSpacing/>
    </w:pPr>
  </w:style>
  <w:style w:type="paragraph" w:styleId="ListBullet2">
    <w:name w:val="List Bullet 2"/>
    <w:basedOn w:val="Normal"/>
    <w:rsid w:val="001C7D6A"/>
    <w:pPr>
      <w:numPr>
        <w:numId w:val="14"/>
      </w:numPr>
      <w:contextualSpacing/>
    </w:pPr>
  </w:style>
  <w:style w:type="paragraph" w:styleId="ListBullet3">
    <w:name w:val="List Bullet 3"/>
    <w:basedOn w:val="Normal"/>
    <w:rsid w:val="001C7D6A"/>
    <w:pPr>
      <w:numPr>
        <w:numId w:val="15"/>
      </w:numPr>
      <w:contextualSpacing/>
    </w:pPr>
  </w:style>
  <w:style w:type="paragraph" w:styleId="ListBullet4">
    <w:name w:val="List Bullet 4"/>
    <w:basedOn w:val="Normal"/>
    <w:rsid w:val="001C7D6A"/>
    <w:pPr>
      <w:numPr>
        <w:numId w:val="16"/>
      </w:numPr>
      <w:contextualSpacing/>
    </w:pPr>
  </w:style>
  <w:style w:type="paragraph" w:styleId="ListBullet5">
    <w:name w:val="List Bullet 5"/>
    <w:basedOn w:val="Normal"/>
    <w:rsid w:val="001C7D6A"/>
    <w:pPr>
      <w:numPr>
        <w:numId w:val="17"/>
      </w:numPr>
      <w:contextualSpacing/>
    </w:pPr>
  </w:style>
  <w:style w:type="paragraph" w:styleId="ListContinue">
    <w:name w:val="List Continue"/>
    <w:basedOn w:val="Normal"/>
    <w:rsid w:val="001C7D6A"/>
    <w:pPr>
      <w:spacing w:after="120"/>
      <w:ind w:left="360"/>
      <w:contextualSpacing/>
    </w:pPr>
  </w:style>
  <w:style w:type="paragraph" w:styleId="ListContinue2">
    <w:name w:val="List Continue 2"/>
    <w:basedOn w:val="Normal"/>
    <w:rsid w:val="001C7D6A"/>
    <w:pPr>
      <w:spacing w:after="120"/>
      <w:ind w:left="720"/>
      <w:contextualSpacing/>
    </w:pPr>
  </w:style>
  <w:style w:type="paragraph" w:styleId="ListContinue3">
    <w:name w:val="List Continue 3"/>
    <w:basedOn w:val="Normal"/>
    <w:rsid w:val="001C7D6A"/>
    <w:pPr>
      <w:spacing w:after="120"/>
      <w:ind w:left="1080"/>
      <w:contextualSpacing/>
    </w:pPr>
  </w:style>
  <w:style w:type="paragraph" w:styleId="ListContinue4">
    <w:name w:val="List Continue 4"/>
    <w:basedOn w:val="Normal"/>
    <w:rsid w:val="001C7D6A"/>
    <w:pPr>
      <w:spacing w:after="120"/>
      <w:ind w:left="1440"/>
      <w:contextualSpacing/>
    </w:pPr>
  </w:style>
  <w:style w:type="paragraph" w:styleId="ListContinue5">
    <w:name w:val="List Continue 5"/>
    <w:basedOn w:val="Normal"/>
    <w:rsid w:val="001C7D6A"/>
    <w:pPr>
      <w:spacing w:after="120"/>
      <w:ind w:left="1800"/>
      <w:contextualSpacing/>
    </w:pPr>
  </w:style>
  <w:style w:type="paragraph" w:styleId="ListNumber">
    <w:name w:val="List Number"/>
    <w:basedOn w:val="Normal"/>
    <w:rsid w:val="001C7D6A"/>
    <w:pPr>
      <w:numPr>
        <w:numId w:val="18"/>
      </w:numPr>
      <w:contextualSpacing/>
    </w:pPr>
  </w:style>
  <w:style w:type="paragraph" w:styleId="ListNumber2">
    <w:name w:val="List Number 2"/>
    <w:basedOn w:val="Normal"/>
    <w:rsid w:val="001C7D6A"/>
    <w:pPr>
      <w:numPr>
        <w:numId w:val="19"/>
      </w:numPr>
      <w:contextualSpacing/>
    </w:pPr>
  </w:style>
  <w:style w:type="paragraph" w:styleId="ListNumber3">
    <w:name w:val="List Number 3"/>
    <w:basedOn w:val="Normal"/>
    <w:rsid w:val="001C7D6A"/>
    <w:pPr>
      <w:numPr>
        <w:numId w:val="20"/>
      </w:numPr>
      <w:contextualSpacing/>
    </w:pPr>
  </w:style>
  <w:style w:type="paragraph" w:styleId="ListNumber4">
    <w:name w:val="List Number 4"/>
    <w:basedOn w:val="Normal"/>
    <w:rsid w:val="001C7D6A"/>
    <w:pPr>
      <w:numPr>
        <w:numId w:val="21"/>
      </w:numPr>
      <w:contextualSpacing/>
    </w:pPr>
  </w:style>
  <w:style w:type="paragraph" w:styleId="ListNumber5">
    <w:name w:val="List Number 5"/>
    <w:basedOn w:val="Normal"/>
    <w:rsid w:val="001C7D6A"/>
    <w:pPr>
      <w:numPr>
        <w:numId w:val="22"/>
      </w:numPr>
      <w:contextualSpacing/>
    </w:pPr>
  </w:style>
  <w:style w:type="paragraph" w:styleId="MessageHeader">
    <w:name w:val="Message Header"/>
    <w:basedOn w:val="Normal"/>
    <w:link w:val="MessageHeaderChar"/>
    <w:rsid w:val="001C7D6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1C7D6A"/>
    <w:rPr>
      <w:rFonts w:asciiTheme="majorHAnsi" w:eastAsiaTheme="majorEastAsia" w:hAnsiTheme="majorHAnsi" w:cstheme="majorBidi"/>
      <w:sz w:val="24"/>
      <w:szCs w:val="24"/>
      <w:shd w:val="pct20" w:color="auto" w:fill="auto"/>
    </w:rPr>
  </w:style>
  <w:style w:type="paragraph" w:styleId="NormalIndent">
    <w:name w:val="Normal Indent"/>
    <w:basedOn w:val="Normal"/>
    <w:rsid w:val="001C7D6A"/>
    <w:pPr>
      <w:ind w:left="720"/>
    </w:pPr>
  </w:style>
  <w:style w:type="paragraph" w:styleId="NoteHeading">
    <w:name w:val="Note Heading"/>
    <w:basedOn w:val="Normal"/>
    <w:next w:val="Normal"/>
    <w:link w:val="NoteHeadingChar"/>
    <w:rsid w:val="001C7D6A"/>
  </w:style>
  <w:style w:type="character" w:customStyle="1" w:styleId="NoteHeadingChar">
    <w:name w:val="Note Heading Char"/>
    <w:basedOn w:val="DefaultParagraphFont"/>
    <w:link w:val="NoteHeading"/>
    <w:rsid w:val="001C7D6A"/>
    <w:rPr>
      <w:sz w:val="24"/>
    </w:rPr>
  </w:style>
  <w:style w:type="paragraph" w:styleId="Quote">
    <w:name w:val="Quote"/>
    <w:basedOn w:val="Normal"/>
    <w:next w:val="Normal"/>
    <w:link w:val="QuoteChar"/>
    <w:uiPriority w:val="29"/>
    <w:qFormat/>
    <w:rsid w:val="001C7D6A"/>
    <w:rPr>
      <w:i/>
      <w:iCs/>
      <w:color w:val="000000" w:themeColor="text1"/>
    </w:rPr>
  </w:style>
  <w:style w:type="character" w:customStyle="1" w:styleId="QuoteChar">
    <w:name w:val="Quote Char"/>
    <w:basedOn w:val="DefaultParagraphFont"/>
    <w:link w:val="Quote"/>
    <w:uiPriority w:val="29"/>
    <w:rsid w:val="001C7D6A"/>
    <w:rPr>
      <w:i/>
      <w:iCs/>
      <w:color w:val="000000" w:themeColor="text1"/>
      <w:sz w:val="24"/>
    </w:rPr>
  </w:style>
  <w:style w:type="paragraph" w:styleId="Salutation">
    <w:name w:val="Salutation"/>
    <w:basedOn w:val="Normal"/>
    <w:next w:val="Normal"/>
    <w:link w:val="SalutationChar"/>
    <w:rsid w:val="001C7D6A"/>
  </w:style>
  <w:style w:type="character" w:customStyle="1" w:styleId="SalutationChar">
    <w:name w:val="Salutation Char"/>
    <w:basedOn w:val="DefaultParagraphFont"/>
    <w:link w:val="Salutation"/>
    <w:rsid w:val="001C7D6A"/>
    <w:rPr>
      <w:sz w:val="24"/>
    </w:rPr>
  </w:style>
  <w:style w:type="paragraph" w:styleId="Signature">
    <w:name w:val="Signature"/>
    <w:basedOn w:val="Normal"/>
    <w:link w:val="SignatureChar"/>
    <w:rsid w:val="001C7D6A"/>
    <w:pPr>
      <w:ind w:left="4320"/>
    </w:pPr>
  </w:style>
  <w:style w:type="character" w:customStyle="1" w:styleId="SignatureChar">
    <w:name w:val="Signature Char"/>
    <w:basedOn w:val="DefaultParagraphFont"/>
    <w:link w:val="Signature"/>
    <w:rsid w:val="001C7D6A"/>
    <w:rPr>
      <w:sz w:val="24"/>
    </w:rPr>
  </w:style>
  <w:style w:type="paragraph" w:styleId="Subtitle">
    <w:name w:val="Subtitle"/>
    <w:basedOn w:val="Normal"/>
    <w:next w:val="Normal"/>
    <w:link w:val="SubtitleChar"/>
    <w:qFormat/>
    <w:rsid w:val="001C7D6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1C7D6A"/>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1C7D6A"/>
    <w:pPr>
      <w:ind w:left="240" w:hanging="240"/>
    </w:pPr>
  </w:style>
  <w:style w:type="paragraph" w:styleId="TableofFigures">
    <w:name w:val="table of figures"/>
    <w:basedOn w:val="Normal"/>
    <w:next w:val="Normal"/>
    <w:rsid w:val="001C7D6A"/>
  </w:style>
  <w:style w:type="paragraph" w:styleId="TOAHeading">
    <w:name w:val="toa heading"/>
    <w:basedOn w:val="Normal"/>
    <w:next w:val="Normal"/>
    <w:rsid w:val="001C7D6A"/>
    <w:pPr>
      <w:spacing w:before="120"/>
    </w:pPr>
    <w:rPr>
      <w:rFonts w:asciiTheme="majorHAnsi" w:eastAsiaTheme="majorEastAsia" w:hAnsiTheme="majorHAnsi" w:cstheme="majorBidi"/>
      <w:b/>
      <w:bCs/>
      <w:szCs w:val="24"/>
    </w:rPr>
  </w:style>
  <w:style w:type="paragraph" w:styleId="TOC3">
    <w:name w:val="toc 3"/>
    <w:basedOn w:val="Normal"/>
    <w:next w:val="Normal"/>
    <w:autoRedefine/>
    <w:rsid w:val="001C7D6A"/>
    <w:pPr>
      <w:spacing w:after="100"/>
      <w:ind w:left="480"/>
    </w:pPr>
  </w:style>
  <w:style w:type="paragraph" w:styleId="TOC4">
    <w:name w:val="toc 4"/>
    <w:basedOn w:val="Normal"/>
    <w:next w:val="Normal"/>
    <w:autoRedefine/>
    <w:rsid w:val="001C7D6A"/>
    <w:pPr>
      <w:spacing w:after="100"/>
      <w:ind w:left="720"/>
    </w:pPr>
  </w:style>
  <w:style w:type="paragraph" w:styleId="TOC5">
    <w:name w:val="toc 5"/>
    <w:basedOn w:val="Normal"/>
    <w:next w:val="Normal"/>
    <w:autoRedefine/>
    <w:rsid w:val="001C7D6A"/>
    <w:pPr>
      <w:spacing w:after="100"/>
      <w:ind w:left="960"/>
    </w:pPr>
  </w:style>
  <w:style w:type="paragraph" w:styleId="TOC6">
    <w:name w:val="toc 6"/>
    <w:basedOn w:val="Normal"/>
    <w:next w:val="Normal"/>
    <w:autoRedefine/>
    <w:rsid w:val="001C7D6A"/>
    <w:pPr>
      <w:spacing w:after="100"/>
      <w:ind w:left="1200"/>
    </w:pPr>
  </w:style>
  <w:style w:type="paragraph" w:styleId="TOC7">
    <w:name w:val="toc 7"/>
    <w:basedOn w:val="Normal"/>
    <w:next w:val="Normal"/>
    <w:autoRedefine/>
    <w:rsid w:val="001C7D6A"/>
    <w:pPr>
      <w:spacing w:after="100"/>
      <w:ind w:left="1440"/>
    </w:pPr>
  </w:style>
  <w:style w:type="paragraph" w:styleId="TOC8">
    <w:name w:val="toc 8"/>
    <w:basedOn w:val="Normal"/>
    <w:next w:val="Normal"/>
    <w:autoRedefine/>
    <w:rsid w:val="001C7D6A"/>
    <w:pPr>
      <w:spacing w:after="100"/>
      <w:ind w:left="1680"/>
    </w:pPr>
  </w:style>
  <w:style w:type="paragraph" w:styleId="TOC9">
    <w:name w:val="toc 9"/>
    <w:basedOn w:val="Normal"/>
    <w:next w:val="Normal"/>
    <w:autoRedefine/>
    <w:rsid w:val="001C7D6A"/>
    <w:pPr>
      <w:spacing w:after="100"/>
      <w:ind w:left="1920"/>
    </w:pPr>
  </w:style>
  <w:style w:type="paragraph" w:styleId="TOCHeading">
    <w:name w:val="TOC Heading"/>
    <w:basedOn w:val="Heading1"/>
    <w:next w:val="Normal"/>
    <w:uiPriority w:val="39"/>
    <w:semiHidden/>
    <w:unhideWhenUsed/>
    <w:qFormat/>
    <w:rsid w:val="001C7D6A"/>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4666090">
      <w:bodyDiv w:val="1"/>
      <w:marLeft w:val="0"/>
      <w:marRight w:val="0"/>
      <w:marTop w:val="0"/>
      <w:marBottom w:val="0"/>
      <w:divBdr>
        <w:top w:val="none" w:sz="0" w:space="0" w:color="auto"/>
        <w:left w:val="none" w:sz="0" w:space="0" w:color="auto"/>
        <w:bottom w:val="none" w:sz="0" w:space="0" w:color="auto"/>
        <w:right w:val="none" w:sz="0" w:space="0" w:color="auto"/>
      </w:divBdr>
    </w:div>
    <w:div w:id="209925236">
      <w:bodyDiv w:val="1"/>
      <w:marLeft w:val="0"/>
      <w:marRight w:val="0"/>
      <w:marTop w:val="0"/>
      <w:marBottom w:val="0"/>
      <w:divBdr>
        <w:top w:val="none" w:sz="0" w:space="0" w:color="auto"/>
        <w:left w:val="none" w:sz="0" w:space="0" w:color="auto"/>
        <w:bottom w:val="none" w:sz="0" w:space="0" w:color="auto"/>
        <w:right w:val="none" w:sz="0" w:space="0" w:color="auto"/>
      </w:divBdr>
    </w:div>
    <w:div w:id="350687857">
      <w:bodyDiv w:val="1"/>
      <w:marLeft w:val="0"/>
      <w:marRight w:val="0"/>
      <w:marTop w:val="0"/>
      <w:marBottom w:val="0"/>
      <w:divBdr>
        <w:top w:val="none" w:sz="0" w:space="0" w:color="auto"/>
        <w:left w:val="none" w:sz="0" w:space="0" w:color="auto"/>
        <w:bottom w:val="none" w:sz="0" w:space="0" w:color="auto"/>
        <w:right w:val="none" w:sz="0" w:space="0" w:color="auto"/>
      </w:divBdr>
    </w:div>
    <w:div w:id="457992868">
      <w:bodyDiv w:val="1"/>
      <w:marLeft w:val="0"/>
      <w:marRight w:val="0"/>
      <w:marTop w:val="0"/>
      <w:marBottom w:val="0"/>
      <w:divBdr>
        <w:top w:val="none" w:sz="0" w:space="0" w:color="auto"/>
        <w:left w:val="none" w:sz="0" w:space="0" w:color="auto"/>
        <w:bottom w:val="none" w:sz="0" w:space="0" w:color="auto"/>
        <w:right w:val="none" w:sz="0" w:space="0" w:color="auto"/>
      </w:divBdr>
    </w:div>
    <w:div w:id="480660300">
      <w:bodyDiv w:val="1"/>
      <w:marLeft w:val="0"/>
      <w:marRight w:val="0"/>
      <w:marTop w:val="0"/>
      <w:marBottom w:val="0"/>
      <w:divBdr>
        <w:top w:val="none" w:sz="0" w:space="0" w:color="auto"/>
        <w:left w:val="none" w:sz="0" w:space="0" w:color="auto"/>
        <w:bottom w:val="none" w:sz="0" w:space="0" w:color="auto"/>
        <w:right w:val="none" w:sz="0" w:space="0" w:color="auto"/>
      </w:divBdr>
    </w:div>
    <w:div w:id="549652652">
      <w:bodyDiv w:val="1"/>
      <w:marLeft w:val="0"/>
      <w:marRight w:val="0"/>
      <w:marTop w:val="0"/>
      <w:marBottom w:val="0"/>
      <w:divBdr>
        <w:top w:val="none" w:sz="0" w:space="0" w:color="auto"/>
        <w:left w:val="none" w:sz="0" w:space="0" w:color="auto"/>
        <w:bottom w:val="none" w:sz="0" w:space="0" w:color="auto"/>
        <w:right w:val="none" w:sz="0" w:space="0" w:color="auto"/>
      </w:divBdr>
    </w:div>
    <w:div w:id="603420851">
      <w:bodyDiv w:val="1"/>
      <w:marLeft w:val="0"/>
      <w:marRight w:val="0"/>
      <w:marTop w:val="0"/>
      <w:marBottom w:val="0"/>
      <w:divBdr>
        <w:top w:val="none" w:sz="0" w:space="0" w:color="auto"/>
        <w:left w:val="none" w:sz="0" w:space="0" w:color="auto"/>
        <w:bottom w:val="none" w:sz="0" w:space="0" w:color="auto"/>
        <w:right w:val="none" w:sz="0" w:space="0" w:color="auto"/>
      </w:divBdr>
    </w:div>
    <w:div w:id="720597446">
      <w:bodyDiv w:val="1"/>
      <w:marLeft w:val="0"/>
      <w:marRight w:val="0"/>
      <w:marTop w:val="0"/>
      <w:marBottom w:val="0"/>
      <w:divBdr>
        <w:top w:val="none" w:sz="0" w:space="0" w:color="auto"/>
        <w:left w:val="none" w:sz="0" w:space="0" w:color="auto"/>
        <w:bottom w:val="none" w:sz="0" w:space="0" w:color="auto"/>
        <w:right w:val="none" w:sz="0" w:space="0" w:color="auto"/>
      </w:divBdr>
    </w:div>
    <w:div w:id="724524869">
      <w:bodyDiv w:val="1"/>
      <w:marLeft w:val="0"/>
      <w:marRight w:val="0"/>
      <w:marTop w:val="0"/>
      <w:marBottom w:val="0"/>
      <w:divBdr>
        <w:top w:val="none" w:sz="0" w:space="0" w:color="auto"/>
        <w:left w:val="none" w:sz="0" w:space="0" w:color="auto"/>
        <w:bottom w:val="none" w:sz="0" w:space="0" w:color="auto"/>
        <w:right w:val="none" w:sz="0" w:space="0" w:color="auto"/>
      </w:divBdr>
    </w:div>
    <w:div w:id="753211908">
      <w:bodyDiv w:val="1"/>
      <w:marLeft w:val="0"/>
      <w:marRight w:val="0"/>
      <w:marTop w:val="0"/>
      <w:marBottom w:val="0"/>
      <w:divBdr>
        <w:top w:val="none" w:sz="0" w:space="0" w:color="auto"/>
        <w:left w:val="none" w:sz="0" w:space="0" w:color="auto"/>
        <w:bottom w:val="none" w:sz="0" w:space="0" w:color="auto"/>
        <w:right w:val="none" w:sz="0" w:space="0" w:color="auto"/>
      </w:divBdr>
    </w:div>
    <w:div w:id="833422660">
      <w:bodyDiv w:val="1"/>
      <w:marLeft w:val="0"/>
      <w:marRight w:val="0"/>
      <w:marTop w:val="0"/>
      <w:marBottom w:val="0"/>
      <w:divBdr>
        <w:top w:val="none" w:sz="0" w:space="0" w:color="auto"/>
        <w:left w:val="none" w:sz="0" w:space="0" w:color="auto"/>
        <w:bottom w:val="none" w:sz="0" w:space="0" w:color="auto"/>
        <w:right w:val="none" w:sz="0" w:space="0" w:color="auto"/>
      </w:divBdr>
    </w:div>
    <w:div w:id="926966303">
      <w:bodyDiv w:val="1"/>
      <w:marLeft w:val="0"/>
      <w:marRight w:val="0"/>
      <w:marTop w:val="0"/>
      <w:marBottom w:val="0"/>
      <w:divBdr>
        <w:top w:val="none" w:sz="0" w:space="0" w:color="auto"/>
        <w:left w:val="none" w:sz="0" w:space="0" w:color="auto"/>
        <w:bottom w:val="none" w:sz="0" w:space="0" w:color="auto"/>
        <w:right w:val="none" w:sz="0" w:space="0" w:color="auto"/>
      </w:divBdr>
    </w:div>
    <w:div w:id="1251501884">
      <w:bodyDiv w:val="1"/>
      <w:marLeft w:val="0"/>
      <w:marRight w:val="0"/>
      <w:marTop w:val="0"/>
      <w:marBottom w:val="0"/>
      <w:divBdr>
        <w:top w:val="none" w:sz="0" w:space="0" w:color="auto"/>
        <w:left w:val="none" w:sz="0" w:space="0" w:color="auto"/>
        <w:bottom w:val="none" w:sz="0" w:space="0" w:color="auto"/>
        <w:right w:val="none" w:sz="0" w:space="0" w:color="auto"/>
      </w:divBdr>
    </w:div>
    <w:div w:id="1275868786">
      <w:bodyDiv w:val="1"/>
      <w:marLeft w:val="750"/>
      <w:marRight w:val="0"/>
      <w:marTop w:val="300"/>
      <w:marBottom w:val="0"/>
      <w:divBdr>
        <w:top w:val="none" w:sz="0" w:space="0" w:color="auto"/>
        <w:left w:val="none" w:sz="0" w:space="0" w:color="auto"/>
        <w:bottom w:val="none" w:sz="0" w:space="0" w:color="auto"/>
        <w:right w:val="none" w:sz="0" w:space="0" w:color="auto"/>
      </w:divBdr>
    </w:div>
    <w:div w:id="1585795935">
      <w:bodyDiv w:val="1"/>
      <w:marLeft w:val="0"/>
      <w:marRight w:val="0"/>
      <w:marTop w:val="0"/>
      <w:marBottom w:val="0"/>
      <w:divBdr>
        <w:top w:val="none" w:sz="0" w:space="0" w:color="auto"/>
        <w:left w:val="none" w:sz="0" w:space="0" w:color="auto"/>
        <w:bottom w:val="none" w:sz="0" w:space="0" w:color="auto"/>
        <w:right w:val="none" w:sz="0" w:space="0" w:color="auto"/>
      </w:divBdr>
    </w:div>
    <w:div w:id="1613590959">
      <w:bodyDiv w:val="1"/>
      <w:marLeft w:val="0"/>
      <w:marRight w:val="0"/>
      <w:marTop w:val="0"/>
      <w:marBottom w:val="0"/>
      <w:divBdr>
        <w:top w:val="none" w:sz="0" w:space="0" w:color="auto"/>
        <w:left w:val="none" w:sz="0" w:space="0" w:color="auto"/>
        <w:bottom w:val="none" w:sz="0" w:space="0" w:color="auto"/>
        <w:right w:val="none" w:sz="0" w:space="0" w:color="auto"/>
      </w:divBdr>
    </w:div>
    <w:div w:id="1766344612">
      <w:bodyDiv w:val="1"/>
      <w:marLeft w:val="0"/>
      <w:marRight w:val="0"/>
      <w:marTop w:val="0"/>
      <w:marBottom w:val="0"/>
      <w:divBdr>
        <w:top w:val="none" w:sz="0" w:space="0" w:color="auto"/>
        <w:left w:val="none" w:sz="0" w:space="0" w:color="auto"/>
        <w:bottom w:val="none" w:sz="0" w:space="0" w:color="auto"/>
        <w:right w:val="none" w:sz="0" w:space="0" w:color="auto"/>
      </w:divBdr>
    </w:div>
    <w:div w:id="1779447790">
      <w:bodyDiv w:val="1"/>
      <w:marLeft w:val="0"/>
      <w:marRight w:val="0"/>
      <w:marTop w:val="0"/>
      <w:marBottom w:val="0"/>
      <w:divBdr>
        <w:top w:val="none" w:sz="0" w:space="0" w:color="auto"/>
        <w:left w:val="none" w:sz="0" w:space="0" w:color="auto"/>
        <w:bottom w:val="none" w:sz="0" w:space="0" w:color="auto"/>
        <w:right w:val="none" w:sz="0" w:space="0" w:color="auto"/>
      </w:divBdr>
    </w:div>
    <w:div w:id="1855416621">
      <w:bodyDiv w:val="1"/>
      <w:marLeft w:val="0"/>
      <w:marRight w:val="0"/>
      <w:marTop w:val="0"/>
      <w:marBottom w:val="0"/>
      <w:divBdr>
        <w:top w:val="none" w:sz="0" w:space="0" w:color="auto"/>
        <w:left w:val="none" w:sz="0" w:space="0" w:color="auto"/>
        <w:bottom w:val="none" w:sz="0" w:space="0" w:color="auto"/>
        <w:right w:val="none" w:sz="0" w:space="0" w:color="auto"/>
      </w:divBdr>
    </w:div>
    <w:div w:id="1880121532">
      <w:bodyDiv w:val="1"/>
      <w:marLeft w:val="0"/>
      <w:marRight w:val="0"/>
      <w:marTop w:val="0"/>
      <w:marBottom w:val="0"/>
      <w:divBdr>
        <w:top w:val="none" w:sz="0" w:space="0" w:color="auto"/>
        <w:left w:val="none" w:sz="0" w:space="0" w:color="auto"/>
        <w:bottom w:val="none" w:sz="0" w:space="0" w:color="auto"/>
        <w:right w:val="none" w:sz="0" w:space="0" w:color="auto"/>
      </w:divBdr>
    </w:div>
    <w:div w:id="198943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dol.gov/whd/regs/compliance/whdfs54.pdf" TargetMode="Externa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dhrm.virginia.gov/compreform/crabs/crab22_chart1.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hyperlink" Target="http://www.dol.gov/whd/forms/CoefficientTableWH-13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dhrm.virginia.gov/resources/communications/crabs/crab22a.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hyperlink" Target="http://www.dol.gov/whd/flsa/comprehensive.ppt" TargetMode="External"/><Relationship Id="rId10" Type="http://schemas.openxmlformats.org/officeDocument/2006/relationships/image" Target="media/image2.emf"/><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hyperlink" Target="http://www.dol.gov/whd/regs/compliance/whdfs23.pdf" TargetMode="External"/><Relationship Id="rId30" Type="http://schemas.openxmlformats.org/officeDocument/2006/relationships/hyperlink" Target="mailto:payroll@doa.virginia.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26C78-B4D9-43BC-B6E8-3A8F7EBB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6274</TotalTime>
  <Pages>12</Pages>
  <Words>2788</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17895</CharactersWithSpaces>
  <SharedDoc>false</SharedDoc>
  <HLinks>
    <vt:vector size="48" baseType="variant">
      <vt:variant>
        <vt:i4>2621522</vt:i4>
      </vt:variant>
      <vt:variant>
        <vt:i4>18</vt:i4>
      </vt:variant>
      <vt:variant>
        <vt:i4>0</vt:i4>
      </vt:variant>
      <vt:variant>
        <vt:i4>5</vt:i4>
      </vt:variant>
      <vt:variant>
        <vt:lpwstr>mailto:payroll@doa.virginia.gov</vt:lpwstr>
      </vt:variant>
      <vt:variant>
        <vt:lpwstr/>
      </vt:variant>
      <vt:variant>
        <vt:i4>1114208</vt:i4>
      </vt:variant>
      <vt:variant>
        <vt:i4>15</vt:i4>
      </vt:variant>
      <vt:variant>
        <vt:i4>0</vt:i4>
      </vt:variant>
      <vt:variant>
        <vt:i4>5</vt:i4>
      </vt:variant>
      <vt:variant>
        <vt:lpwstr>http://www.doa.virginia.gov/Payroll/Training/Leave_Intro_Training/LEAVE_Intro_Training_Manual.cfm</vt:lpwstr>
      </vt:variant>
      <vt:variant>
        <vt:lpwstr/>
      </vt:variant>
      <vt:variant>
        <vt:i4>5242896</vt:i4>
      </vt:variant>
      <vt:variant>
        <vt:i4>12</vt:i4>
      </vt:variant>
      <vt:variant>
        <vt:i4>0</vt:i4>
      </vt:variant>
      <vt:variant>
        <vt:i4>5</vt:i4>
      </vt:variant>
      <vt:variant>
        <vt:lpwstr>http://www.doa.virginia.gov/Payroll/Training/CIPPS_Intro_Training/CIPPS_Training_Manual.cfm</vt:lpwstr>
      </vt:variant>
      <vt:variant>
        <vt:lpwstr/>
      </vt:variant>
      <vt:variant>
        <vt:i4>5242896</vt:i4>
      </vt:variant>
      <vt:variant>
        <vt:i4>9</vt:i4>
      </vt:variant>
      <vt:variant>
        <vt:i4>0</vt:i4>
      </vt:variant>
      <vt:variant>
        <vt:i4>5</vt:i4>
      </vt:variant>
      <vt:variant>
        <vt:lpwstr>http://www.doa.virginia.gov/Payroll/Training/CIPPS_Intro_Training/CIPPS_Training_Manual.cfm</vt:lpwstr>
      </vt:variant>
      <vt:variant>
        <vt:lpwstr/>
      </vt:variant>
      <vt:variant>
        <vt:i4>2621522</vt:i4>
      </vt:variant>
      <vt:variant>
        <vt:i4>6</vt:i4>
      </vt:variant>
      <vt:variant>
        <vt:i4>0</vt:i4>
      </vt:variant>
      <vt:variant>
        <vt:i4>5</vt:i4>
      </vt:variant>
      <vt:variant>
        <vt:lpwstr>mailto:payroll@doa.virginia.gov</vt:lpwstr>
      </vt:variant>
      <vt:variant>
        <vt:lpwstr/>
      </vt:variant>
      <vt:variant>
        <vt:i4>2818163</vt:i4>
      </vt:variant>
      <vt:variant>
        <vt:i4>3</vt:i4>
      </vt:variant>
      <vt:variant>
        <vt:i4>0</vt:i4>
      </vt:variant>
      <vt:variant>
        <vt:i4>5</vt:i4>
      </vt:variant>
      <vt:variant>
        <vt:lpwstr>https://covkc.virginia.gov/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subject>Payroll Bulletin</dc:subject>
  <dc:creator>Virginia Department of Accounts</dc:creator>
  <cp:keywords>Payroll Bulletin</cp:keywords>
  <dc:description/>
  <cp:lastModifiedBy>sqv97012</cp:lastModifiedBy>
  <cp:revision>201</cp:revision>
  <cp:lastPrinted>2013-09-20T16:59:00Z</cp:lastPrinted>
  <dcterms:created xsi:type="dcterms:W3CDTF">2013-09-10T19:52:00Z</dcterms:created>
  <dcterms:modified xsi:type="dcterms:W3CDTF">2013-10-07T16:35:00Z</dcterms:modified>
  <cp:category>Payroll Bulletin</cp:category>
</cp:coreProperties>
</file>