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4" o:title="Outlined diamond" type="pattern"/>
    </v:background>
  </w:background>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tblPr>
      <w:tblGrid>
        <w:gridCol w:w="3366"/>
        <w:gridCol w:w="3366"/>
        <w:gridCol w:w="3366"/>
      </w:tblGrid>
      <w:tr w:rsidR="00CF5444">
        <w:trPr>
          <w:cantSplit/>
        </w:trPr>
        <w:tc>
          <w:tcPr>
            <w:tcW w:w="3366" w:type="dxa"/>
            <w:tcBorders>
              <w:bottom w:val="double" w:sz="6" w:space="0" w:color="auto"/>
            </w:tcBorders>
          </w:tcPr>
          <w:p w:rsidR="00CF5444" w:rsidRDefault="00CF5444" w:rsidP="0037197F">
            <w:pPr>
              <w:pStyle w:val="Header"/>
              <w:rPr>
                <w:b/>
                <w:sz w:val="20"/>
              </w:rPr>
            </w:pPr>
            <w:r>
              <w:rPr>
                <w:b/>
                <w:sz w:val="20"/>
              </w:rPr>
              <w:t xml:space="preserve">Calendar Year </w:t>
            </w:r>
            <w:r w:rsidR="006A0FBB">
              <w:rPr>
                <w:b/>
                <w:sz w:val="20"/>
              </w:rPr>
              <w:t xml:space="preserve"> 201</w:t>
            </w:r>
            <w:r w:rsidR="0037197F">
              <w:rPr>
                <w:b/>
                <w:sz w:val="20"/>
              </w:rPr>
              <w:t>4</w:t>
            </w:r>
          </w:p>
        </w:tc>
        <w:tc>
          <w:tcPr>
            <w:tcW w:w="3366" w:type="dxa"/>
            <w:tcBorders>
              <w:bottom w:val="double" w:sz="6" w:space="0" w:color="auto"/>
            </w:tcBorders>
          </w:tcPr>
          <w:p w:rsidR="00396BAC" w:rsidRDefault="00BE7748" w:rsidP="00DA3F40">
            <w:pPr>
              <w:pStyle w:val="Header"/>
              <w:jc w:val="center"/>
              <w:rPr>
                <w:b/>
                <w:sz w:val="20"/>
              </w:rPr>
            </w:pPr>
            <w:r>
              <w:rPr>
                <w:b/>
                <w:sz w:val="20"/>
              </w:rPr>
              <w:t xml:space="preserve">June </w:t>
            </w:r>
            <w:r w:rsidR="00DA3F40">
              <w:rPr>
                <w:b/>
                <w:sz w:val="20"/>
              </w:rPr>
              <w:t>6</w:t>
            </w:r>
            <w:r>
              <w:rPr>
                <w:b/>
                <w:sz w:val="20"/>
              </w:rPr>
              <w:t>, 2014</w:t>
            </w:r>
          </w:p>
        </w:tc>
        <w:tc>
          <w:tcPr>
            <w:tcW w:w="3366" w:type="dxa"/>
            <w:tcBorders>
              <w:bottom w:val="double" w:sz="6" w:space="0" w:color="auto"/>
            </w:tcBorders>
          </w:tcPr>
          <w:p w:rsidR="00CF5444" w:rsidRDefault="00CF5444" w:rsidP="00DA3F40">
            <w:pPr>
              <w:pStyle w:val="Header"/>
              <w:jc w:val="right"/>
              <w:rPr>
                <w:b/>
                <w:sz w:val="20"/>
              </w:rPr>
            </w:pPr>
            <w:r>
              <w:rPr>
                <w:b/>
                <w:sz w:val="20"/>
              </w:rPr>
              <w:t>Volume</w:t>
            </w:r>
            <w:r w:rsidR="00687085">
              <w:rPr>
                <w:b/>
                <w:sz w:val="20"/>
              </w:rPr>
              <w:t xml:space="preserve"> 201</w:t>
            </w:r>
            <w:r w:rsidR="0037197F">
              <w:rPr>
                <w:b/>
                <w:sz w:val="20"/>
              </w:rPr>
              <w:t>4</w:t>
            </w:r>
            <w:r>
              <w:rPr>
                <w:b/>
                <w:sz w:val="20"/>
              </w:rPr>
              <w:t>-</w:t>
            </w:r>
            <w:r w:rsidR="0085213F">
              <w:rPr>
                <w:b/>
                <w:sz w:val="20"/>
              </w:rPr>
              <w:t>1</w:t>
            </w:r>
            <w:r w:rsidR="00DA3F40">
              <w:rPr>
                <w:b/>
                <w:sz w:val="20"/>
              </w:rPr>
              <w:t>0</w:t>
            </w:r>
          </w:p>
        </w:tc>
      </w:tr>
    </w:tbl>
    <w:p w:rsidR="00EF2DED" w:rsidRDefault="00EF2DED" w:rsidP="00BE7748">
      <w:pPr>
        <w:tabs>
          <w:tab w:val="left" w:pos="990"/>
        </w:tabs>
      </w:pPr>
    </w:p>
    <w:tbl>
      <w:tblPr>
        <w:tblW w:w="0" w:type="auto"/>
        <w:tblLook w:val="01E0"/>
      </w:tblPr>
      <w:tblGrid>
        <w:gridCol w:w="2245"/>
        <w:gridCol w:w="4112"/>
        <w:gridCol w:w="3795"/>
      </w:tblGrid>
      <w:tr w:rsidR="0056085F" w:rsidTr="00EF6516">
        <w:tc>
          <w:tcPr>
            <w:tcW w:w="2245" w:type="dxa"/>
          </w:tcPr>
          <w:p w:rsidR="0056085F" w:rsidRPr="00EF6516" w:rsidRDefault="0056085F" w:rsidP="00EF6516">
            <w:pPr>
              <w:tabs>
                <w:tab w:val="left" w:pos="990"/>
              </w:tabs>
              <w:spacing w:before="120"/>
              <w:rPr>
                <w:i/>
                <w:sz w:val="32"/>
                <w:szCs w:val="32"/>
              </w:rPr>
            </w:pPr>
            <w:r w:rsidRPr="00EF6516">
              <w:rPr>
                <w:i/>
                <w:sz w:val="32"/>
                <w:szCs w:val="32"/>
              </w:rPr>
              <w:t>In This Issue of the Payroll Bulletin…....</w:t>
            </w:r>
          </w:p>
          <w:p w:rsidR="0056085F" w:rsidRPr="00EF6516" w:rsidRDefault="0056085F" w:rsidP="00EF6516">
            <w:pPr>
              <w:spacing w:before="120"/>
              <w:rPr>
                <w:b/>
              </w:rPr>
            </w:pPr>
          </w:p>
        </w:tc>
        <w:tc>
          <w:tcPr>
            <w:tcW w:w="4112" w:type="dxa"/>
          </w:tcPr>
          <w:p w:rsidR="00BE6BE9" w:rsidRPr="00D831CF" w:rsidRDefault="004E0617" w:rsidP="00F062FE">
            <w:pPr>
              <w:numPr>
                <w:ilvl w:val="0"/>
                <w:numId w:val="2"/>
              </w:numPr>
              <w:tabs>
                <w:tab w:val="left" w:pos="990"/>
              </w:tabs>
              <w:spacing w:before="60"/>
              <w:ind w:left="547"/>
              <w:rPr>
                <w:b/>
                <w:szCs w:val="24"/>
              </w:rPr>
            </w:pPr>
            <w:r w:rsidRPr="00D831CF">
              <w:rPr>
                <w:b/>
                <w:szCs w:val="24"/>
              </w:rPr>
              <w:t xml:space="preserve">VRS Hybrid Opt-in for Plan 1 </w:t>
            </w:r>
            <w:r w:rsidR="003F0F7C" w:rsidRPr="00D831CF">
              <w:rPr>
                <w:b/>
                <w:szCs w:val="24"/>
              </w:rPr>
              <w:t xml:space="preserve">State </w:t>
            </w:r>
            <w:r w:rsidRPr="00D831CF">
              <w:rPr>
                <w:b/>
                <w:szCs w:val="24"/>
              </w:rPr>
              <w:t>Employees</w:t>
            </w:r>
          </w:p>
          <w:p w:rsidR="00977D6A" w:rsidRPr="003365C3" w:rsidRDefault="006E2110" w:rsidP="003365C3">
            <w:pPr>
              <w:numPr>
                <w:ilvl w:val="0"/>
                <w:numId w:val="2"/>
              </w:numPr>
              <w:tabs>
                <w:tab w:val="left" w:pos="990"/>
              </w:tabs>
              <w:ind w:left="547"/>
              <w:rPr>
                <w:b/>
                <w:szCs w:val="24"/>
              </w:rPr>
            </w:pPr>
            <w:r w:rsidRPr="00981239">
              <w:rPr>
                <w:b/>
                <w:szCs w:val="24"/>
              </w:rPr>
              <w:t>Deleting Pending File Transactions</w:t>
            </w:r>
          </w:p>
        </w:tc>
        <w:tc>
          <w:tcPr>
            <w:tcW w:w="3795" w:type="dxa"/>
          </w:tcPr>
          <w:p w:rsidR="0056085F" w:rsidRPr="00EF6516" w:rsidRDefault="0056085F" w:rsidP="00EF6516">
            <w:pPr>
              <w:tabs>
                <w:tab w:val="left" w:pos="990"/>
              </w:tabs>
              <w:spacing w:before="120"/>
              <w:rPr>
                <w:sz w:val="20"/>
              </w:rPr>
            </w:pPr>
            <w:r w:rsidRPr="00EF6516">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9" w:history="1">
              <w:r w:rsidRPr="00EF6516">
                <w:rPr>
                  <w:rStyle w:val="Hyperlink"/>
                  <w:sz w:val="20"/>
                </w:rPr>
                <w:t>cathy.mcgill@doa.virginia.gov</w:t>
              </w:r>
            </w:hyperlink>
          </w:p>
          <w:p w:rsidR="0056085F" w:rsidRPr="00EF6516" w:rsidRDefault="0056085F" w:rsidP="00EF6516">
            <w:pPr>
              <w:tabs>
                <w:tab w:val="left" w:pos="990"/>
              </w:tabs>
              <w:spacing w:before="120"/>
              <w:jc w:val="both"/>
              <w:rPr>
                <w:sz w:val="20"/>
                <w:u w:val="single"/>
              </w:rPr>
            </w:pPr>
            <w:r w:rsidRPr="00EF6516">
              <w:rPr>
                <w:sz w:val="20"/>
                <w:u w:val="single"/>
              </w:rPr>
              <w:t>State Payroll Operations</w:t>
            </w:r>
          </w:p>
          <w:p w:rsidR="0056085F" w:rsidRPr="00EF6516" w:rsidRDefault="0056085F" w:rsidP="00EF6516">
            <w:pPr>
              <w:tabs>
                <w:tab w:val="left" w:pos="990"/>
              </w:tabs>
              <w:spacing w:before="120"/>
              <w:rPr>
                <w:sz w:val="20"/>
              </w:rPr>
            </w:pPr>
            <w:r w:rsidRPr="00EF6516">
              <w:rPr>
                <w:b/>
                <w:sz w:val="20"/>
              </w:rPr>
              <w:t>Director                         Lora L. George</w:t>
            </w:r>
          </w:p>
          <w:p w:rsidR="0056085F" w:rsidRPr="00EF6516" w:rsidRDefault="0056085F" w:rsidP="00EF6516">
            <w:pPr>
              <w:tabs>
                <w:tab w:val="left" w:pos="990"/>
              </w:tabs>
              <w:spacing w:before="120"/>
              <w:rPr>
                <w:szCs w:val="24"/>
              </w:rPr>
            </w:pPr>
            <w:r w:rsidRPr="00EF6516">
              <w:rPr>
                <w:sz w:val="20"/>
              </w:rPr>
              <w:t>Assistant Director          Cathy C. McGill</w:t>
            </w:r>
          </w:p>
        </w:tc>
      </w:tr>
    </w:tbl>
    <w:p w:rsidR="00B83731" w:rsidRDefault="00B83731" w:rsidP="00917887">
      <w:pPr>
        <w:pStyle w:val="BlockLine"/>
        <w:ind w:left="1530" w:right="18"/>
        <w:rPr>
          <w:sz w:val="16"/>
          <w:szCs w:val="16"/>
        </w:rPr>
      </w:pPr>
    </w:p>
    <w:p w:rsidR="00ED1D0A" w:rsidRPr="009F4ED9" w:rsidRDefault="00660A34" w:rsidP="00632767">
      <w:pPr>
        <w:pStyle w:val="Heading4"/>
        <w:spacing w:after="0"/>
        <w:rPr>
          <w:rFonts w:ascii="Times New Roman" w:hAnsi="Times New Roman"/>
          <w:b/>
          <w:sz w:val="28"/>
          <w:szCs w:val="28"/>
        </w:rPr>
      </w:pPr>
      <w:r>
        <w:rPr>
          <w:rFonts w:ascii="Times New Roman" w:hAnsi="Times New Roman"/>
          <w:b/>
          <w:sz w:val="28"/>
          <w:szCs w:val="28"/>
        </w:rPr>
        <w:t>VRS Hybrid Retirement Plan</w:t>
      </w:r>
      <w:r w:rsidRPr="00660A34">
        <w:rPr>
          <w:rFonts w:ascii="Times New Roman" w:hAnsi="Times New Roman"/>
          <w:b/>
          <w:sz w:val="28"/>
          <w:szCs w:val="28"/>
        </w:rPr>
        <w:t xml:space="preserve"> </w:t>
      </w:r>
      <w:r>
        <w:rPr>
          <w:rFonts w:ascii="Times New Roman" w:hAnsi="Times New Roman"/>
          <w:b/>
          <w:sz w:val="28"/>
          <w:szCs w:val="28"/>
        </w:rPr>
        <w:t>Opt-in for Plan 1 State Employees</w:t>
      </w:r>
    </w:p>
    <w:p w:rsidR="00B83731" w:rsidRDefault="00B83731" w:rsidP="00917887">
      <w:pPr>
        <w:pStyle w:val="BlockLine"/>
        <w:ind w:left="1530" w:right="18"/>
        <w:rPr>
          <w:sz w:val="16"/>
          <w:szCs w:val="16"/>
        </w:rPr>
      </w:pPr>
    </w:p>
    <w:tbl>
      <w:tblPr>
        <w:tblW w:w="10188" w:type="dxa"/>
        <w:tblLayout w:type="fixed"/>
        <w:tblLook w:val="0000"/>
      </w:tblPr>
      <w:tblGrid>
        <w:gridCol w:w="1728"/>
        <w:gridCol w:w="8460"/>
      </w:tblGrid>
      <w:tr w:rsidR="001F5420" w:rsidTr="00632767">
        <w:trPr>
          <w:cantSplit/>
          <w:trHeight w:val="1278"/>
        </w:trPr>
        <w:tc>
          <w:tcPr>
            <w:tcW w:w="1728" w:type="dxa"/>
          </w:tcPr>
          <w:p w:rsidR="001F5420" w:rsidRPr="00014F61" w:rsidRDefault="001F5420" w:rsidP="00632767">
            <w:pPr>
              <w:rPr>
                <w:b/>
              </w:rPr>
            </w:pPr>
            <w:r>
              <w:rPr>
                <w:b/>
              </w:rPr>
              <w:t>Introduction</w:t>
            </w:r>
          </w:p>
        </w:tc>
        <w:tc>
          <w:tcPr>
            <w:tcW w:w="8460" w:type="dxa"/>
          </w:tcPr>
          <w:p w:rsidR="001F5420" w:rsidRPr="00D1647B" w:rsidRDefault="001F5420" w:rsidP="00F21907">
            <w:pPr>
              <w:autoSpaceDE w:val="0"/>
              <w:autoSpaceDN w:val="0"/>
            </w:pPr>
            <w:r>
              <w:t xml:space="preserve">This payroll bulletin addresses changes made to CIPPS-Leave </w:t>
            </w:r>
            <w:r w:rsidR="00F21907">
              <w:t>for</w:t>
            </w:r>
            <w:r>
              <w:t xml:space="preserve"> VRS Plan 1 employees electing enrollment in the VRS Hybr</w:t>
            </w:r>
            <w:r w:rsidR="00A100E0">
              <w:t>id Retirement Plan</w:t>
            </w:r>
            <w:r w:rsidR="00F21907">
              <w:t xml:space="preserve"> as well as procedures for invoking the election</w:t>
            </w:r>
            <w:r w:rsidR="00A100E0">
              <w:t xml:space="preserve">. </w:t>
            </w:r>
            <w:r w:rsidR="00F21907">
              <w:t xml:space="preserve"> However the most current</w:t>
            </w:r>
            <w:r>
              <w:t xml:space="preserve"> information provided by VRS indicate</w:t>
            </w:r>
            <w:r w:rsidR="00F21907">
              <w:t>s</w:t>
            </w:r>
            <w:r>
              <w:t xml:space="preserve"> that no CIPPS-Leave agencies have any </w:t>
            </w:r>
            <w:r w:rsidR="00F21907">
              <w:t>e</w:t>
            </w:r>
            <w:r>
              <w:t>mployees who have made such an election.</w:t>
            </w:r>
            <w:r w:rsidR="00F21907">
              <w:t xml:space="preserve"> </w:t>
            </w:r>
          </w:p>
        </w:tc>
      </w:tr>
    </w:tbl>
    <w:p w:rsidR="001F5420" w:rsidRPr="003128B2" w:rsidRDefault="001F5420" w:rsidP="00917887">
      <w:pPr>
        <w:pStyle w:val="BlockLine"/>
        <w:ind w:left="1530" w:right="18"/>
        <w:rPr>
          <w:sz w:val="16"/>
          <w:szCs w:val="16"/>
        </w:rPr>
      </w:pPr>
    </w:p>
    <w:tbl>
      <w:tblPr>
        <w:tblW w:w="10188" w:type="dxa"/>
        <w:tblLayout w:type="fixed"/>
        <w:tblLook w:val="0000"/>
      </w:tblPr>
      <w:tblGrid>
        <w:gridCol w:w="1728"/>
        <w:gridCol w:w="8460"/>
      </w:tblGrid>
      <w:tr w:rsidR="00ED1D0A" w:rsidTr="00632767">
        <w:trPr>
          <w:cantSplit/>
          <w:trHeight w:val="5562"/>
        </w:trPr>
        <w:tc>
          <w:tcPr>
            <w:tcW w:w="1728" w:type="dxa"/>
          </w:tcPr>
          <w:p w:rsidR="00ED1D0A" w:rsidRDefault="00BE7748" w:rsidP="009D71A0">
            <w:r>
              <w:rPr>
                <w:b/>
              </w:rPr>
              <w:t xml:space="preserve">Hybrid Plan </w:t>
            </w:r>
            <w:r w:rsidR="00916D79">
              <w:rPr>
                <w:b/>
              </w:rPr>
              <w:t>Opt-In Window</w:t>
            </w:r>
          </w:p>
        </w:tc>
        <w:tc>
          <w:tcPr>
            <w:tcW w:w="8460" w:type="dxa"/>
          </w:tcPr>
          <w:p w:rsidR="00F34782" w:rsidRDefault="00A100E0" w:rsidP="00632767">
            <w:r>
              <w:t>VRS introduced the Hybrid plan in a December 2013 Special Edition of Member News:  “</w:t>
            </w:r>
            <w:r w:rsidR="001F5420">
              <w:t xml:space="preserve">The 2012 General Assembly passed a series of pension reform initiatives, including the establishment of the VRS Hybrid Retirement Plan. </w:t>
            </w:r>
            <w:r w:rsidR="00B719BB">
              <w:t xml:space="preserve"> </w:t>
            </w:r>
            <w:r w:rsidR="001F5420">
              <w:t xml:space="preserve">The new plan applies to most members hired on or after January 1, 2014. </w:t>
            </w:r>
            <w:r w:rsidR="00B719BB">
              <w:t xml:space="preserve"> </w:t>
            </w:r>
            <w:r w:rsidR="001F5420">
              <w:t>Most current VRS members will have the opportunity to elect the Hybrid Retirement Plan during an opt-in window from January 1 through April 30, 2014</w:t>
            </w:r>
            <w:r w:rsidR="00BE7748">
              <w:t>.</w:t>
            </w:r>
            <w:r>
              <w:t>”</w:t>
            </w:r>
            <w:r w:rsidR="00BE7748">
              <w:t xml:space="preserve"> </w:t>
            </w:r>
          </w:p>
          <w:p w:rsidR="00F34782" w:rsidRDefault="00F34782" w:rsidP="00632767"/>
          <w:p w:rsidR="00F34782" w:rsidRDefault="00F34782" w:rsidP="00632767">
            <w:r>
              <w:t xml:space="preserve">Per DHRM Policy 4.55, Traditional Sick Leave, </w:t>
            </w:r>
            <w:r w:rsidR="00632767">
              <w:t>effective 6/25/2014:</w:t>
            </w:r>
            <w:r w:rsidR="00A100E0">
              <w:t xml:space="preserve"> </w:t>
            </w:r>
            <w:r>
              <w:t>“</w:t>
            </w:r>
            <w:r w:rsidR="00BE7748">
              <w:t xml:space="preserve">For </w:t>
            </w:r>
            <w:r>
              <w:t xml:space="preserve">employees entering the </w:t>
            </w:r>
            <w:r w:rsidR="00BE7748">
              <w:t xml:space="preserve">Hybrid </w:t>
            </w:r>
            <w:r>
              <w:t xml:space="preserve">Retirement </w:t>
            </w:r>
            <w:r w:rsidR="00BE7748">
              <w:t xml:space="preserve">Plan </w:t>
            </w:r>
            <w:r>
              <w:t xml:space="preserve">on July 1, 2014, traditional sick leave accruals shall end as of June 24, 2014, and </w:t>
            </w:r>
            <w:r w:rsidR="00AA1640">
              <w:t xml:space="preserve">VSDP </w:t>
            </w:r>
            <w:r>
              <w:t>leave (family/personal and sick leave) shall be allocated on June 25, 2014</w:t>
            </w:r>
            <w:r w:rsidR="00D75311">
              <w:t>,</w:t>
            </w:r>
            <w:r>
              <w:t xml:space="preserve"> </w:t>
            </w:r>
            <w:r w:rsidRPr="00B719BB">
              <w:rPr>
                <w:i/>
              </w:rPr>
              <w:t>based on service time</w:t>
            </w:r>
            <w:r>
              <w:t xml:space="preserve"> as defined for current employees.</w:t>
            </w:r>
          </w:p>
          <w:p w:rsidR="00F34782" w:rsidRDefault="00F34782" w:rsidP="00632767"/>
          <w:p w:rsidR="00F34782" w:rsidRDefault="00F34782" w:rsidP="00632767">
            <w:r>
              <w:t>Eligible employees may elect one of two options for their traditional sick l</w:t>
            </w:r>
            <w:r w:rsidR="00BE7748">
              <w:t>eave balances</w:t>
            </w:r>
            <w:r>
              <w:t>. They may:</w:t>
            </w:r>
          </w:p>
          <w:p w:rsidR="00F34782" w:rsidRDefault="00F34782" w:rsidP="00632767"/>
          <w:p w:rsidR="00F34782" w:rsidRDefault="00F34782" w:rsidP="00632767">
            <w:pPr>
              <w:pStyle w:val="ListParagraph"/>
              <w:numPr>
                <w:ilvl w:val="0"/>
                <w:numId w:val="24"/>
              </w:numPr>
            </w:pPr>
            <w:r>
              <w:t>be paid for the maximum payable amount of unused, accrued sick leave</w:t>
            </w:r>
            <w:r w:rsidR="00BE7748">
              <w:t xml:space="preserve">; </w:t>
            </w:r>
            <w:r w:rsidR="001F5420" w:rsidRPr="001F5420">
              <w:rPr>
                <w:b/>
                <w:u w:val="single"/>
              </w:rPr>
              <w:t>OR</w:t>
            </w:r>
          </w:p>
          <w:p w:rsidR="006D1694" w:rsidRPr="00B16079" w:rsidRDefault="00F34782" w:rsidP="00632767">
            <w:pPr>
              <w:pStyle w:val="ListParagraph"/>
              <w:numPr>
                <w:ilvl w:val="0"/>
                <w:numId w:val="24"/>
              </w:numPr>
            </w:pPr>
            <w:proofErr w:type="gramStart"/>
            <w:r>
              <w:t>retain</w:t>
            </w:r>
            <w:proofErr w:type="gramEnd"/>
            <w:r>
              <w:t xml:space="preserve"> the unused, accrued sick leave balance intact to be payable upon their separation from state service or other qualifying status change. Should this option be selected, the balance shall be banked and inaccessible for use during the remainder of the employee’s state service.”</w:t>
            </w:r>
          </w:p>
        </w:tc>
      </w:tr>
    </w:tbl>
    <w:p w:rsidR="00020152" w:rsidRDefault="00020152" w:rsidP="00917887">
      <w:pPr>
        <w:pStyle w:val="BlockLine"/>
        <w:ind w:left="1530" w:right="18"/>
        <w:jc w:val="right"/>
        <w:rPr>
          <w:sz w:val="16"/>
          <w:szCs w:val="16"/>
        </w:rPr>
      </w:pPr>
    </w:p>
    <w:p w:rsidR="00D57932" w:rsidRDefault="00D57932" w:rsidP="00D57932"/>
    <w:p w:rsidR="00D57932" w:rsidRDefault="00D57932">
      <w:pPr>
        <w:rPr>
          <w:b/>
          <w:sz w:val="28"/>
          <w:szCs w:val="28"/>
        </w:rPr>
      </w:pPr>
      <w:r>
        <w:rPr>
          <w:b/>
          <w:sz w:val="28"/>
          <w:szCs w:val="28"/>
        </w:rPr>
        <w:br w:type="page"/>
      </w:r>
    </w:p>
    <w:p w:rsidR="00D57932" w:rsidRPr="009F4ED9" w:rsidRDefault="00D57932" w:rsidP="00D57932">
      <w:pPr>
        <w:pStyle w:val="Heading4"/>
        <w:spacing w:after="0"/>
        <w:rPr>
          <w:rFonts w:ascii="Times New Roman" w:hAnsi="Times New Roman"/>
          <w:b/>
          <w:sz w:val="28"/>
          <w:szCs w:val="28"/>
        </w:rPr>
      </w:pPr>
      <w:r>
        <w:rPr>
          <w:rFonts w:ascii="Times New Roman" w:hAnsi="Times New Roman"/>
          <w:b/>
          <w:sz w:val="28"/>
          <w:szCs w:val="28"/>
        </w:rPr>
        <w:t>VRS Hybrid Retirement Plan</w:t>
      </w:r>
      <w:r w:rsidRPr="00660A34">
        <w:rPr>
          <w:rFonts w:ascii="Times New Roman" w:hAnsi="Times New Roman"/>
          <w:b/>
          <w:sz w:val="28"/>
          <w:szCs w:val="28"/>
        </w:rPr>
        <w:t xml:space="preserve"> </w:t>
      </w:r>
      <w:r>
        <w:rPr>
          <w:rFonts w:ascii="Times New Roman" w:hAnsi="Times New Roman"/>
          <w:b/>
          <w:sz w:val="28"/>
          <w:szCs w:val="28"/>
        </w:rPr>
        <w:t xml:space="preserve">Opt-in for Plan 1 State Employees, </w:t>
      </w:r>
      <w:r w:rsidRPr="00D57932">
        <w:rPr>
          <w:rFonts w:ascii="Times New Roman" w:hAnsi="Times New Roman"/>
          <w:sz w:val="28"/>
          <w:szCs w:val="28"/>
        </w:rPr>
        <w:t>continued</w:t>
      </w:r>
    </w:p>
    <w:p w:rsidR="00D57932" w:rsidRDefault="00D57932" w:rsidP="00D57932">
      <w:pPr>
        <w:pStyle w:val="BlockLine"/>
        <w:ind w:left="1530" w:right="18"/>
        <w:rPr>
          <w:sz w:val="16"/>
          <w:szCs w:val="16"/>
        </w:rPr>
      </w:pPr>
    </w:p>
    <w:tbl>
      <w:tblPr>
        <w:tblW w:w="10188" w:type="dxa"/>
        <w:tblLayout w:type="fixed"/>
        <w:tblLook w:val="0000"/>
      </w:tblPr>
      <w:tblGrid>
        <w:gridCol w:w="1728"/>
        <w:gridCol w:w="8460"/>
      </w:tblGrid>
      <w:tr w:rsidR="006D1694" w:rsidTr="00916D79">
        <w:trPr>
          <w:cantSplit/>
          <w:trHeight w:val="11763"/>
        </w:trPr>
        <w:tc>
          <w:tcPr>
            <w:tcW w:w="1728" w:type="dxa"/>
          </w:tcPr>
          <w:p w:rsidR="006D1694" w:rsidRPr="00014F61" w:rsidRDefault="00AA1640" w:rsidP="00632767">
            <w:pPr>
              <w:rPr>
                <w:b/>
              </w:rPr>
            </w:pPr>
            <w:r>
              <w:rPr>
                <w:b/>
              </w:rPr>
              <w:t xml:space="preserve">CIPPS-Leave </w:t>
            </w:r>
            <w:r w:rsidR="006D1694">
              <w:rPr>
                <w:b/>
              </w:rPr>
              <w:t>Screens Updated</w:t>
            </w:r>
            <w:r w:rsidR="006D1694" w:rsidRPr="00014F61">
              <w:rPr>
                <w:b/>
              </w:rPr>
              <w:t xml:space="preserve"> </w:t>
            </w:r>
          </w:p>
        </w:tc>
        <w:tc>
          <w:tcPr>
            <w:tcW w:w="8460" w:type="dxa"/>
          </w:tcPr>
          <w:p w:rsidR="006D1694" w:rsidRPr="00D63530" w:rsidRDefault="007F1E4F" w:rsidP="00632767">
            <w:pPr>
              <w:pStyle w:val="BlockText"/>
              <w:rPr>
                <w:sz w:val="16"/>
                <w:szCs w:val="16"/>
              </w:rPr>
            </w:pPr>
            <w:r>
              <w:t>Effective 7/14/14</w:t>
            </w:r>
            <w:r w:rsidR="00A3381D">
              <w:t>,</w:t>
            </w:r>
            <w:r>
              <w:t xml:space="preserve"> </w:t>
            </w:r>
            <w:r w:rsidR="00AA1640">
              <w:t xml:space="preserve">CIPPS-Leave </w:t>
            </w:r>
            <w:r>
              <w:t>will be</w:t>
            </w:r>
            <w:r w:rsidR="006D1694">
              <w:t xml:space="preserve"> modified</w:t>
            </w:r>
            <w:r w:rsidR="00D57932">
              <w:t xml:space="preserve"> to</w:t>
            </w:r>
            <w:r w:rsidR="006D1694">
              <w:t xml:space="preserve"> accommodate those employees who have elected to bank their traditional sick </w:t>
            </w:r>
            <w:r w:rsidR="00916D79">
              <w:t>leave balances. The process of sick l</w:t>
            </w:r>
            <w:r w:rsidR="006D1694">
              <w:t>eave banking i</w:t>
            </w:r>
            <w:r w:rsidR="00916D79">
              <w:t>s similar to the conversion of sick l</w:t>
            </w:r>
            <w:r w:rsidR="006D1694">
              <w:t>eave to Disability Credits during VSDP rollout. For this reason, the Traditional Sick Leave Bank (TSLB) will use the same field. The field on the HPHUN screen has been renamed DIS CR/TSLB to reflect its dual use.</w:t>
            </w:r>
          </w:p>
          <w:p w:rsidR="006D1694" w:rsidRPr="00D63530" w:rsidRDefault="006D1694" w:rsidP="00632767">
            <w:pPr>
              <w:pStyle w:val="BlockText"/>
              <w:rPr>
                <w:sz w:val="16"/>
                <w:szCs w:val="16"/>
              </w:rPr>
            </w:pPr>
          </w:p>
          <w:p w:rsidR="00AE4E1A" w:rsidRDefault="00096F0A" w:rsidP="00632767">
            <w:pPr>
              <w:pStyle w:val="BlockText"/>
              <w:jc w:val="center"/>
            </w:pPr>
            <w:r w:rsidRPr="00096F0A">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09.8pt;margin-top:41.2pt;width:60.3pt;height:8.8pt;z-index:251660288;mso-width-relative:margin;mso-height-relative:margin" fillcolor="#bfbfbf [2412]" stroked="f">
                  <v:textbox style="mso-next-textbox:#_x0000_s1026" inset="0,0,0,0">
                    <w:txbxContent>
                      <w:p w:rsidR="006F1B32" w:rsidRPr="00E41576" w:rsidRDefault="006F1B32">
                        <w:pPr>
                          <w:rPr>
                            <w:rFonts w:ascii="Courier New" w:hAnsi="Courier New" w:cs="Courier New"/>
                            <w:b/>
                            <w:sz w:val="18"/>
                            <w:szCs w:val="18"/>
                          </w:rPr>
                        </w:pPr>
                        <w:r>
                          <w:rPr>
                            <w:rFonts w:ascii="Courier New" w:hAnsi="Courier New" w:cs="Courier New"/>
                            <w:b/>
                            <w:noProof/>
                            <w:sz w:val="18"/>
                            <w:szCs w:val="18"/>
                          </w:rPr>
                          <w:drawing>
                            <wp:inline distT="0" distB="0" distL="0" distR="0">
                              <wp:extent cx="765810" cy="11211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65810" cy="112116"/>
                                      </a:xfrm>
                                      <a:prstGeom prst="rect">
                                        <a:avLst/>
                                      </a:prstGeom>
                                      <a:noFill/>
                                      <a:ln w="9525">
                                        <a:noFill/>
                                        <a:miter lim="800000"/>
                                        <a:headEnd/>
                                        <a:tailEnd/>
                                      </a:ln>
                                    </pic:spPr>
                                  </pic:pic>
                                </a:graphicData>
                              </a:graphic>
                            </wp:inline>
                          </w:drawing>
                        </w:r>
                      </w:p>
                    </w:txbxContent>
                  </v:textbox>
                </v:shape>
              </w:pict>
            </w:r>
            <w:r w:rsidRPr="00096F0A">
              <w:rPr>
                <w:b/>
                <w:noProof/>
              </w:rPr>
              <w:pict>
                <v:shape id="_x0000_s1027" type="#_x0000_t202" style="position:absolute;left:0;text-align:left;margin-left:100.4pt;margin-top:42.2pt;width:30.55pt;height:8.8pt;z-index:251661312;mso-width-relative:margin;mso-height-relative:margin" fillcolor="#bfbfbf [2412]" stroked="f">
                  <v:textbox style="mso-next-textbox:#_x0000_s1027" inset="0,0,0,0">
                    <w:txbxContent>
                      <w:p w:rsidR="006F1B32" w:rsidRPr="00E41576" w:rsidRDefault="006F1B32" w:rsidP="00E41576">
                        <w:pPr>
                          <w:rPr>
                            <w:rFonts w:ascii="Courier New" w:hAnsi="Courier New" w:cs="Courier New"/>
                            <w:b/>
                            <w:sz w:val="18"/>
                            <w:szCs w:val="18"/>
                          </w:rPr>
                        </w:pPr>
                        <w:r>
                          <w:rPr>
                            <w:rFonts w:ascii="Courier New" w:hAnsi="Courier New" w:cs="Courier New"/>
                            <w:b/>
                            <w:noProof/>
                            <w:sz w:val="18"/>
                            <w:szCs w:val="18"/>
                          </w:rPr>
                          <w:t>00230</w:t>
                        </w:r>
                      </w:p>
                    </w:txbxContent>
                  </v:textbox>
                </v:shape>
              </w:pict>
            </w:r>
            <w:r w:rsidR="006D1694" w:rsidRPr="00BB5815">
              <w:rPr>
                <w:noProof/>
              </w:rPr>
              <w:drawing>
                <wp:inline distT="0" distB="0" distL="0" distR="0">
                  <wp:extent cx="4261104" cy="2866703"/>
                  <wp:effectExtent l="19050" t="0" r="6096"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l="9455" t="11222" r="2885" b="15030"/>
                          <a:stretch>
                            <a:fillRect/>
                          </a:stretch>
                        </pic:blipFill>
                        <pic:spPr bwMode="auto">
                          <a:xfrm>
                            <a:off x="0" y="0"/>
                            <a:ext cx="4261104" cy="2866703"/>
                          </a:xfrm>
                          <a:prstGeom prst="rect">
                            <a:avLst/>
                          </a:prstGeom>
                          <a:noFill/>
                          <a:ln w="9525">
                            <a:noFill/>
                            <a:miter lim="800000"/>
                            <a:headEnd/>
                            <a:tailEnd/>
                          </a:ln>
                        </pic:spPr>
                      </pic:pic>
                    </a:graphicData>
                  </a:graphic>
                </wp:inline>
              </w:drawing>
            </w:r>
          </w:p>
          <w:p w:rsidR="00A100E0" w:rsidRDefault="00A100E0" w:rsidP="00632767">
            <w:pPr>
              <w:pStyle w:val="BlockText"/>
              <w:jc w:val="center"/>
            </w:pPr>
          </w:p>
          <w:p w:rsidR="00A100E0" w:rsidRPr="00D63530" w:rsidRDefault="00A100E0" w:rsidP="00632767">
            <w:pPr>
              <w:pStyle w:val="BlockText"/>
              <w:rPr>
                <w:sz w:val="16"/>
                <w:szCs w:val="16"/>
              </w:rPr>
            </w:pPr>
            <w:r>
              <w:t>Unlike Disability Credits, TSLB hours cannot be used by the employee</w:t>
            </w:r>
            <w:r w:rsidR="0078557D">
              <w:t xml:space="preserve"> during periods of short-term disability</w:t>
            </w:r>
            <w:r>
              <w:t>. To accommodate this difference a new field – TSL BANK IND – has been added to the HPIUS screen. The value for TSL BANK IND is set to ‘N’ by default. Below is the HPIUS screen for an employee who converted to the Hybrid Retirement Plan from Plan 1:</w:t>
            </w:r>
          </w:p>
          <w:p w:rsidR="00A100E0" w:rsidRPr="00D63530" w:rsidRDefault="00A100E0" w:rsidP="00632767">
            <w:pPr>
              <w:pStyle w:val="BlockText"/>
              <w:rPr>
                <w:sz w:val="16"/>
                <w:szCs w:val="16"/>
              </w:rPr>
            </w:pPr>
          </w:p>
          <w:p w:rsidR="00A100E0" w:rsidRPr="00D1647B" w:rsidRDefault="00A100E0" w:rsidP="00632767">
            <w:pPr>
              <w:pStyle w:val="BlockText"/>
              <w:jc w:val="center"/>
            </w:pPr>
            <w:r w:rsidRPr="008D17BB">
              <w:rPr>
                <w:noProof/>
              </w:rPr>
              <w:drawing>
                <wp:inline distT="0" distB="0" distL="0" distR="0">
                  <wp:extent cx="4257675" cy="2315988"/>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l="9295" t="10822" r="3205" b="29659"/>
                          <a:stretch>
                            <a:fillRect/>
                          </a:stretch>
                        </pic:blipFill>
                        <pic:spPr bwMode="auto">
                          <a:xfrm>
                            <a:off x="0" y="0"/>
                            <a:ext cx="4267081" cy="2321104"/>
                          </a:xfrm>
                          <a:prstGeom prst="rect">
                            <a:avLst/>
                          </a:prstGeom>
                          <a:noFill/>
                          <a:ln w="9525">
                            <a:noFill/>
                            <a:miter lim="800000"/>
                            <a:headEnd/>
                            <a:tailEnd/>
                          </a:ln>
                        </pic:spPr>
                      </pic:pic>
                    </a:graphicData>
                  </a:graphic>
                </wp:inline>
              </w:drawing>
            </w:r>
          </w:p>
        </w:tc>
      </w:tr>
    </w:tbl>
    <w:p w:rsidR="00AE4E1A" w:rsidRDefault="00AE4E1A" w:rsidP="00917887">
      <w:pPr>
        <w:pStyle w:val="BlockLine"/>
        <w:ind w:left="1530" w:right="18"/>
        <w:jc w:val="right"/>
        <w:rPr>
          <w:i/>
          <w:sz w:val="20"/>
        </w:rPr>
      </w:pPr>
      <w:r>
        <w:rPr>
          <w:i/>
          <w:sz w:val="20"/>
        </w:rPr>
        <w:t>Continued on the next page</w:t>
      </w:r>
    </w:p>
    <w:p w:rsidR="00043EB8" w:rsidRDefault="00043EB8" w:rsidP="00043EB8"/>
    <w:p w:rsidR="00CE483B" w:rsidRDefault="00CE483B">
      <w:pPr>
        <w:rPr>
          <w:b/>
          <w:sz w:val="28"/>
          <w:szCs w:val="28"/>
        </w:rPr>
      </w:pPr>
      <w:r>
        <w:rPr>
          <w:b/>
          <w:sz w:val="28"/>
          <w:szCs w:val="28"/>
        </w:rPr>
        <w:br w:type="page"/>
      </w:r>
    </w:p>
    <w:p w:rsidR="00043EB8" w:rsidRPr="009F4ED9" w:rsidRDefault="00043EB8" w:rsidP="006F1B32">
      <w:pPr>
        <w:pStyle w:val="Heading4"/>
        <w:spacing w:after="0"/>
        <w:rPr>
          <w:rFonts w:ascii="Times New Roman" w:hAnsi="Times New Roman"/>
          <w:b/>
          <w:sz w:val="28"/>
          <w:szCs w:val="28"/>
        </w:rPr>
      </w:pPr>
      <w:r>
        <w:rPr>
          <w:rFonts w:ascii="Times New Roman" w:hAnsi="Times New Roman"/>
          <w:b/>
          <w:sz w:val="28"/>
          <w:szCs w:val="28"/>
        </w:rPr>
        <w:t>VRS Hybrid Retirement Plan</w:t>
      </w:r>
      <w:r w:rsidRPr="00660A34">
        <w:rPr>
          <w:rFonts w:ascii="Times New Roman" w:hAnsi="Times New Roman"/>
          <w:b/>
          <w:sz w:val="28"/>
          <w:szCs w:val="28"/>
        </w:rPr>
        <w:t xml:space="preserve"> </w:t>
      </w:r>
      <w:r>
        <w:rPr>
          <w:rFonts w:ascii="Times New Roman" w:hAnsi="Times New Roman"/>
          <w:b/>
          <w:sz w:val="28"/>
          <w:szCs w:val="28"/>
        </w:rPr>
        <w:t xml:space="preserve">Opt-in for Plan 1 State Employees, </w:t>
      </w:r>
      <w:r w:rsidRPr="00D57932">
        <w:rPr>
          <w:rFonts w:ascii="Times New Roman" w:hAnsi="Times New Roman"/>
          <w:sz w:val="28"/>
          <w:szCs w:val="28"/>
        </w:rPr>
        <w:t>continued</w:t>
      </w:r>
    </w:p>
    <w:p w:rsidR="00043EB8" w:rsidRDefault="00043EB8" w:rsidP="00043EB8">
      <w:pPr>
        <w:pStyle w:val="BlockLine"/>
        <w:ind w:left="1530" w:right="18"/>
        <w:rPr>
          <w:sz w:val="16"/>
          <w:szCs w:val="16"/>
        </w:rPr>
      </w:pPr>
    </w:p>
    <w:tbl>
      <w:tblPr>
        <w:tblW w:w="10188" w:type="dxa"/>
        <w:tblLayout w:type="fixed"/>
        <w:tblLook w:val="0000"/>
      </w:tblPr>
      <w:tblGrid>
        <w:gridCol w:w="1728"/>
        <w:gridCol w:w="8460"/>
      </w:tblGrid>
      <w:tr w:rsidR="00E82721" w:rsidTr="00917887">
        <w:trPr>
          <w:cantSplit/>
          <w:trHeight w:val="1683"/>
        </w:trPr>
        <w:tc>
          <w:tcPr>
            <w:tcW w:w="1728" w:type="dxa"/>
          </w:tcPr>
          <w:p w:rsidR="00E82721" w:rsidRDefault="00AA1640" w:rsidP="00632767">
            <w:pPr>
              <w:rPr>
                <w:b/>
              </w:rPr>
            </w:pPr>
            <w:r>
              <w:rPr>
                <w:b/>
              </w:rPr>
              <w:t xml:space="preserve">CIPPS-Leave </w:t>
            </w:r>
            <w:r w:rsidR="00E82721">
              <w:rPr>
                <w:b/>
              </w:rPr>
              <w:t>Screens Updated</w:t>
            </w:r>
          </w:p>
          <w:p w:rsidR="00E82721" w:rsidRPr="00E82721" w:rsidRDefault="00E82721" w:rsidP="00632767">
            <w:r w:rsidRPr="00E82721">
              <w:t xml:space="preserve">(continued) </w:t>
            </w:r>
          </w:p>
        </w:tc>
        <w:tc>
          <w:tcPr>
            <w:tcW w:w="8460" w:type="dxa"/>
          </w:tcPr>
          <w:p w:rsidR="006D1694" w:rsidRDefault="00BB5815" w:rsidP="00632767">
            <w:pPr>
              <w:pStyle w:val="BlockText"/>
            </w:pPr>
            <w:r>
              <w:t xml:space="preserve"> When TSL BANK IND is set to ‘Y’, the balance shown in the DIS CR/TSLB accumulator may not be used. </w:t>
            </w:r>
            <w:r w:rsidR="006D1694">
              <w:t>CIPPS</w:t>
            </w:r>
            <w:r w:rsidR="00916D79">
              <w:t>-Leave</w:t>
            </w:r>
            <w:r w:rsidR="006D1694">
              <w:t xml:space="preserve"> will </w:t>
            </w:r>
            <w:r w:rsidR="00B43328">
              <w:t>prohibit</w:t>
            </w:r>
            <w:r w:rsidR="006D1694">
              <w:t xml:space="preserve"> any activity transactions using leave type DC. CIPPS</w:t>
            </w:r>
            <w:r w:rsidR="00916D79">
              <w:t>-Leave</w:t>
            </w:r>
            <w:r w:rsidR="006D1694">
              <w:t xml:space="preserve"> will also </w:t>
            </w:r>
            <w:r w:rsidR="00B43328">
              <w:t>prohibit</w:t>
            </w:r>
            <w:r w:rsidR="006D1694">
              <w:t xml:space="preserve"> any maintenance transactions using leave type</w:t>
            </w:r>
            <w:r w:rsidR="00674709">
              <w:t>s DC and</w:t>
            </w:r>
            <w:r w:rsidR="006D1694">
              <w:t xml:space="preserve"> ND.</w:t>
            </w:r>
          </w:p>
          <w:p w:rsidR="006D1694" w:rsidRPr="006F1B32" w:rsidRDefault="006D1694" w:rsidP="00632767">
            <w:pPr>
              <w:pStyle w:val="BlockText"/>
              <w:rPr>
                <w:sz w:val="16"/>
                <w:szCs w:val="16"/>
              </w:rPr>
            </w:pPr>
          </w:p>
          <w:p w:rsidR="006D1694" w:rsidRPr="00D1647B" w:rsidRDefault="006D1694" w:rsidP="00632767">
            <w:pPr>
              <w:pStyle w:val="BlockText"/>
            </w:pPr>
            <w:r w:rsidRPr="006D1694">
              <w:rPr>
                <w:b/>
                <w:i/>
              </w:rPr>
              <w:t>Note:</w:t>
            </w:r>
            <w:r>
              <w:t xml:space="preserve"> The TSL BANK IND field should have a value of ‘N’ </w:t>
            </w:r>
            <w:r w:rsidRPr="006D0ADD">
              <w:rPr>
                <w:b/>
                <w:u w:val="single"/>
              </w:rPr>
              <w:t>except</w:t>
            </w:r>
            <w:r>
              <w:t xml:space="preserve"> for Plan 1 employees who have converted to the new Hybrid Retirement Plan.</w:t>
            </w:r>
          </w:p>
        </w:tc>
      </w:tr>
    </w:tbl>
    <w:p w:rsidR="00243D1A" w:rsidRPr="006B0854" w:rsidRDefault="00243D1A" w:rsidP="00917887">
      <w:pPr>
        <w:pStyle w:val="BlockLine"/>
        <w:ind w:left="1530" w:right="18"/>
        <w:rPr>
          <w:i/>
          <w:sz w:val="16"/>
          <w:szCs w:val="16"/>
        </w:rPr>
      </w:pPr>
    </w:p>
    <w:tbl>
      <w:tblPr>
        <w:tblW w:w="10188" w:type="dxa"/>
        <w:tblLayout w:type="fixed"/>
        <w:tblLook w:val="0000"/>
      </w:tblPr>
      <w:tblGrid>
        <w:gridCol w:w="1728"/>
        <w:gridCol w:w="8460"/>
      </w:tblGrid>
      <w:tr w:rsidR="00243D1A" w:rsidTr="00917887">
        <w:trPr>
          <w:cantSplit/>
          <w:trHeight w:val="963"/>
        </w:trPr>
        <w:tc>
          <w:tcPr>
            <w:tcW w:w="1728" w:type="dxa"/>
          </w:tcPr>
          <w:p w:rsidR="00CE483B" w:rsidRDefault="00CE483B" w:rsidP="00CE483B">
            <w:pPr>
              <w:pStyle w:val="Heading5"/>
            </w:pPr>
            <w:r>
              <w:t>Converting Sick Leave Balance to TSL Bank</w:t>
            </w:r>
          </w:p>
          <w:p w:rsidR="00243D1A" w:rsidRDefault="00243D1A" w:rsidP="00632767">
            <w:pPr>
              <w:jc w:val="both"/>
            </w:pPr>
          </w:p>
        </w:tc>
        <w:tc>
          <w:tcPr>
            <w:tcW w:w="8460" w:type="dxa"/>
          </w:tcPr>
          <w:p w:rsidR="00CE483B" w:rsidRDefault="00243D1A" w:rsidP="0064090B">
            <w:pPr>
              <w:pStyle w:val="BlockText"/>
            </w:pPr>
            <w:r w:rsidRPr="003128B2">
              <w:rPr>
                <w:b/>
              </w:rPr>
              <w:t>Day 1:</w:t>
            </w:r>
            <w:r>
              <w:rPr>
                <w:b/>
              </w:rPr>
              <w:t xml:space="preserve"> </w:t>
            </w:r>
            <w:r>
              <w:t xml:space="preserve"> Prior to</w:t>
            </w:r>
            <w:r w:rsidR="00916D79">
              <w:t xml:space="preserve"> banking</w:t>
            </w:r>
            <w:r>
              <w:t xml:space="preserve"> any traditional sick leave</w:t>
            </w:r>
            <w:r w:rsidR="00916D79">
              <w:t>, all sick l</w:t>
            </w:r>
            <w:r>
              <w:t>eave activity transactions (</w:t>
            </w:r>
            <w:r w:rsidR="00916D79">
              <w:t xml:space="preserve">transaction type </w:t>
            </w:r>
            <w:r>
              <w:t>‘SP’) must be entered on HMSUA in CIPPS</w:t>
            </w:r>
            <w:r w:rsidR="00916D79">
              <w:t>-L</w:t>
            </w:r>
            <w:r>
              <w:t xml:space="preserve">eave. The activity batch should be balanced and </w:t>
            </w:r>
            <w:r w:rsidR="0064090B">
              <w:t xml:space="preserve">allowed to process </w:t>
            </w:r>
            <w:r>
              <w:t>overnight.</w:t>
            </w:r>
          </w:p>
          <w:p w:rsidR="00CE483B" w:rsidRPr="006B0854" w:rsidRDefault="00CE483B" w:rsidP="0064090B">
            <w:pPr>
              <w:pStyle w:val="BlockText"/>
              <w:rPr>
                <w:sz w:val="16"/>
                <w:szCs w:val="16"/>
              </w:rPr>
            </w:pPr>
          </w:p>
          <w:p w:rsidR="00CE483B" w:rsidRDefault="00243D1A" w:rsidP="00B719BB">
            <w:pPr>
              <w:pStyle w:val="Extmemo"/>
              <w:spacing w:line="240" w:lineRule="auto"/>
              <w:jc w:val="both"/>
            </w:pPr>
            <w:r>
              <w:t xml:space="preserve"> </w:t>
            </w:r>
            <w:r w:rsidR="00CE483B">
              <w:rPr>
                <w:b/>
              </w:rPr>
              <w:t>Day 2</w:t>
            </w:r>
            <w:r w:rsidR="00CE483B" w:rsidRPr="003128B2">
              <w:rPr>
                <w:b/>
              </w:rPr>
              <w:t>:</w:t>
            </w:r>
            <w:r w:rsidR="00CE483B">
              <w:rPr>
                <w:b/>
              </w:rPr>
              <w:t xml:space="preserve">  </w:t>
            </w:r>
            <w:r w:rsidR="00CE483B">
              <w:t>On the HPHUN screen verify the final sick leave balance is correct for the employee. Those are the hours which will be converted to the Traditional Sick Leave Bank. This is a 3-step process, as follows:</w:t>
            </w:r>
          </w:p>
          <w:p w:rsidR="00CE483B" w:rsidRPr="006B0854" w:rsidRDefault="00CE483B" w:rsidP="00CE483B">
            <w:pPr>
              <w:pStyle w:val="Extmemo"/>
              <w:jc w:val="both"/>
              <w:rPr>
                <w:sz w:val="16"/>
                <w:szCs w:val="16"/>
              </w:rPr>
            </w:pPr>
          </w:p>
          <w:p w:rsidR="00CE483B" w:rsidRDefault="00CE483B" w:rsidP="00CE483B">
            <w:pPr>
              <w:pStyle w:val="Extmemo"/>
              <w:numPr>
                <w:ilvl w:val="0"/>
                <w:numId w:val="21"/>
              </w:numPr>
              <w:jc w:val="both"/>
            </w:pPr>
            <w:r>
              <w:t>Key a maintenance transaction (HMSUM) to zero out the sick leave balance. The transaction for this is an ‘NS’ with a sign of ‘N’.</w:t>
            </w:r>
          </w:p>
          <w:p w:rsidR="00CE483B" w:rsidRDefault="00CE483B" w:rsidP="00CE483B">
            <w:pPr>
              <w:pStyle w:val="Extmemo"/>
              <w:numPr>
                <w:ilvl w:val="0"/>
                <w:numId w:val="21"/>
              </w:numPr>
              <w:jc w:val="both"/>
            </w:pPr>
            <w:r>
              <w:t>On HPIUS, make the following changes:</w:t>
            </w:r>
          </w:p>
          <w:p w:rsidR="00CE483B" w:rsidRDefault="00CE483B" w:rsidP="00CE483B">
            <w:pPr>
              <w:pStyle w:val="Extmemo"/>
              <w:numPr>
                <w:ilvl w:val="1"/>
                <w:numId w:val="21"/>
              </w:numPr>
              <w:jc w:val="both"/>
            </w:pPr>
            <w:r>
              <w:t>Set VSDP PARTICIPANT to a ‘Y’;</w:t>
            </w:r>
          </w:p>
          <w:p w:rsidR="00CE483B" w:rsidRDefault="00CE483B" w:rsidP="00CE483B">
            <w:pPr>
              <w:pStyle w:val="Extmemo"/>
              <w:numPr>
                <w:ilvl w:val="1"/>
                <w:numId w:val="21"/>
              </w:numPr>
              <w:jc w:val="both"/>
            </w:pPr>
            <w:r>
              <w:t>Set TSL BANK IND to a ‘Y’;</w:t>
            </w:r>
          </w:p>
          <w:p w:rsidR="00CE483B" w:rsidRDefault="00CE483B" w:rsidP="00CE483B">
            <w:pPr>
              <w:pStyle w:val="Extmemo"/>
              <w:numPr>
                <w:ilvl w:val="1"/>
                <w:numId w:val="21"/>
              </w:numPr>
              <w:jc w:val="both"/>
            </w:pPr>
            <w:r>
              <w:t>Enter the SDP EMPLOY DATE. Format MM/01/YYYY. The system will override the day with “01” if any other day is entered. System default is 00/00/0000.Note: This date controls seniority-based yearly sick and family/personal leave allocations. The date is not necessarily the same as the Adjusted Employment Date or Agency Employment Date and may need to be computed. Partial months of employment, periods of LWOP, non-continuous service and previous service with other agencies count towards VSDP service.</w:t>
            </w:r>
          </w:p>
          <w:p w:rsidR="00243D1A" w:rsidRDefault="00CE483B" w:rsidP="00CE483B">
            <w:pPr>
              <w:pStyle w:val="Extmemo"/>
              <w:numPr>
                <w:ilvl w:val="0"/>
                <w:numId w:val="21"/>
              </w:numPr>
              <w:jc w:val="both"/>
            </w:pPr>
            <w:r>
              <w:t>On HMSUM, key a maintenance transaction to load the Traditional Sick Leave Bank balance. The transaction for this is an ‘NT’. Balance your leave maintenance batch and allow to process overnight.</w:t>
            </w:r>
          </w:p>
          <w:p w:rsidR="00CE483B" w:rsidRPr="006B0854" w:rsidRDefault="00CE483B" w:rsidP="00CE483B">
            <w:pPr>
              <w:pStyle w:val="BlockText"/>
              <w:rPr>
                <w:sz w:val="16"/>
                <w:szCs w:val="16"/>
              </w:rPr>
            </w:pPr>
          </w:p>
          <w:p w:rsidR="00CE483B" w:rsidRDefault="00CE483B" w:rsidP="00B719BB">
            <w:pPr>
              <w:autoSpaceDE w:val="0"/>
              <w:autoSpaceDN w:val="0"/>
              <w:jc w:val="both"/>
            </w:pPr>
            <w:r>
              <w:rPr>
                <w:b/>
              </w:rPr>
              <w:t>Day 3</w:t>
            </w:r>
            <w:r w:rsidRPr="003128B2">
              <w:rPr>
                <w:b/>
              </w:rPr>
              <w:t>:</w:t>
            </w:r>
            <w:r>
              <w:rPr>
                <w:b/>
              </w:rPr>
              <w:t xml:space="preserve">  </w:t>
            </w:r>
            <w:r>
              <w:t xml:space="preserve">Verify on HPHUN that the sick leave balances are now zero and the TSLB hours were successfully loaded from your Day 2 transactions. </w:t>
            </w:r>
          </w:p>
          <w:p w:rsidR="00CE483B" w:rsidRPr="006B0854" w:rsidRDefault="00CE483B" w:rsidP="00CE483B">
            <w:pPr>
              <w:autoSpaceDE w:val="0"/>
              <w:autoSpaceDN w:val="0"/>
              <w:spacing w:line="240" w:lineRule="exact"/>
              <w:jc w:val="both"/>
              <w:rPr>
                <w:sz w:val="16"/>
                <w:szCs w:val="16"/>
              </w:rPr>
            </w:pPr>
          </w:p>
          <w:p w:rsidR="00CE483B" w:rsidRDefault="00CE483B" w:rsidP="00B719BB">
            <w:pPr>
              <w:autoSpaceDE w:val="0"/>
              <w:autoSpaceDN w:val="0"/>
              <w:jc w:val="both"/>
            </w:pPr>
            <w:r>
              <w:t>If so, on HMSUM, key maintenance transactions to load VSDP Sick Leave and VSDP Family/Personal leave balances. The transaction for VSDP Sick Leave is ‘NS’. The transaction for VSDP Family/Personal Leave is ‘NF’.</w:t>
            </w:r>
          </w:p>
          <w:p w:rsidR="00CE483B" w:rsidRPr="006B0854" w:rsidRDefault="00CE483B" w:rsidP="00CE483B">
            <w:pPr>
              <w:autoSpaceDE w:val="0"/>
              <w:autoSpaceDN w:val="0"/>
              <w:spacing w:line="240" w:lineRule="exact"/>
              <w:jc w:val="both"/>
              <w:rPr>
                <w:sz w:val="16"/>
                <w:szCs w:val="16"/>
              </w:rPr>
            </w:pPr>
          </w:p>
          <w:p w:rsidR="00CE483B" w:rsidRPr="003E26EB" w:rsidRDefault="00CE483B" w:rsidP="00CE483B">
            <w:pPr>
              <w:pStyle w:val="BlockText"/>
              <w:rPr>
                <w:sz w:val="16"/>
                <w:szCs w:val="16"/>
              </w:rPr>
            </w:pPr>
            <w:r>
              <w:t>Balance your leave maintenance batch and allow to process overnight. Verify balances on the next day.</w:t>
            </w:r>
          </w:p>
        </w:tc>
      </w:tr>
    </w:tbl>
    <w:p w:rsidR="00A100E0" w:rsidRDefault="00A100E0" w:rsidP="00917887">
      <w:pPr>
        <w:pStyle w:val="BlockLine"/>
        <w:ind w:left="1530" w:right="18"/>
        <w:rPr>
          <w:i/>
          <w:sz w:val="16"/>
          <w:szCs w:val="16"/>
        </w:rPr>
      </w:pPr>
    </w:p>
    <w:tbl>
      <w:tblPr>
        <w:tblW w:w="10188" w:type="dxa"/>
        <w:tblLayout w:type="fixed"/>
        <w:tblLook w:val="0000"/>
      </w:tblPr>
      <w:tblGrid>
        <w:gridCol w:w="1728"/>
        <w:gridCol w:w="8460"/>
      </w:tblGrid>
      <w:tr w:rsidR="008F7066" w:rsidRPr="00D1647B" w:rsidTr="009B6632">
        <w:trPr>
          <w:cantSplit/>
          <w:trHeight w:val="1152"/>
        </w:trPr>
        <w:tc>
          <w:tcPr>
            <w:tcW w:w="1728" w:type="dxa"/>
          </w:tcPr>
          <w:p w:rsidR="008F7066" w:rsidRPr="00014F61" w:rsidRDefault="008F7066" w:rsidP="001C6D5E">
            <w:pPr>
              <w:rPr>
                <w:b/>
              </w:rPr>
            </w:pPr>
            <w:r>
              <w:rPr>
                <w:b/>
              </w:rPr>
              <w:t>Leave History in Payline</w:t>
            </w:r>
          </w:p>
        </w:tc>
        <w:tc>
          <w:tcPr>
            <w:tcW w:w="8460" w:type="dxa"/>
          </w:tcPr>
          <w:p w:rsidR="008F7066" w:rsidRPr="00D1647B" w:rsidRDefault="008F7066" w:rsidP="009B6632">
            <w:pPr>
              <w:autoSpaceDE w:val="0"/>
              <w:autoSpaceDN w:val="0"/>
              <w:jc w:val="both"/>
            </w:pPr>
            <w:r>
              <w:t>Payline has been updated to align with the changes made to CIPPS-Leave. Payline will display banked traditional sick leave hours in the same field as disability credits. As in CIPPS-Leave, the leave type label has been changed to ‘Disability Cr/TSL Bank’</w:t>
            </w:r>
            <w:r w:rsidR="005B726E">
              <w:t xml:space="preserve"> because of this dual-use</w:t>
            </w:r>
            <w:r>
              <w:t>. The pop-up description has also been modified.</w:t>
            </w:r>
          </w:p>
        </w:tc>
      </w:tr>
    </w:tbl>
    <w:p w:rsidR="009B6632" w:rsidRDefault="009B6632" w:rsidP="009B6632">
      <w:pPr>
        <w:pStyle w:val="BlockLine"/>
        <w:ind w:left="1530" w:right="18"/>
        <w:rPr>
          <w:i/>
          <w:sz w:val="16"/>
          <w:szCs w:val="16"/>
        </w:rPr>
      </w:pPr>
    </w:p>
    <w:p w:rsidR="009B6632" w:rsidRDefault="009B6632">
      <w:pPr>
        <w:rPr>
          <w:b/>
          <w:sz w:val="28"/>
          <w:szCs w:val="28"/>
        </w:rPr>
      </w:pPr>
    </w:p>
    <w:p w:rsidR="009B6632" w:rsidRPr="009F4ED9" w:rsidRDefault="009B6632" w:rsidP="009B6632">
      <w:pPr>
        <w:pStyle w:val="Heading4"/>
        <w:spacing w:after="0"/>
        <w:rPr>
          <w:rFonts w:ascii="Times New Roman" w:hAnsi="Times New Roman"/>
          <w:b/>
          <w:sz w:val="28"/>
          <w:szCs w:val="28"/>
        </w:rPr>
      </w:pPr>
      <w:r>
        <w:rPr>
          <w:rFonts w:ascii="Times New Roman" w:hAnsi="Times New Roman"/>
          <w:b/>
          <w:sz w:val="28"/>
          <w:szCs w:val="28"/>
        </w:rPr>
        <w:t>Deleting Pending File Transactions</w:t>
      </w:r>
    </w:p>
    <w:p w:rsidR="009B6632" w:rsidRDefault="009B6632" w:rsidP="009B6632">
      <w:pPr>
        <w:pStyle w:val="BlockLine"/>
        <w:ind w:left="1350"/>
        <w:rPr>
          <w:sz w:val="16"/>
          <w:szCs w:val="16"/>
        </w:rPr>
      </w:pPr>
    </w:p>
    <w:tbl>
      <w:tblPr>
        <w:tblW w:w="10368" w:type="dxa"/>
        <w:tblLayout w:type="fixed"/>
        <w:tblLook w:val="0000"/>
      </w:tblPr>
      <w:tblGrid>
        <w:gridCol w:w="1728"/>
        <w:gridCol w:w="8640"/>
      </w:tblGrid>
      <w:tr w:rsidR="009B6632" w:rsidTr="00A77F3F">
        <w:trPr>
          <w:cantSplit/>
        </w:trPr>
        <w:tc>
          <w:tcPr>
            <w:tcW w:w="1728" w:type="dxa"/>
          </w:tcPr>
          <w:p w:rsidR="009B6632" w:rsidRDefault="009B6632" w:rsidP="00A77F3F">
            <w:r>
              <w:rPr>
                <w:b/>
              </w:rPr>
              <w:t>Duplicate Sequence Numbers in CIPPS</w:t>
            </w:r>
          </w:p>
        </w:tc>
        <w:tc>
          <w:tcPr>
            <w:tcW w:w="8640" w:type="dxa"/>
          </w:tcPr>
          <w:p w:rsidR="009B6632" w:rsidRPr="00400095" w:rsidRDefault="009B6632" w:rsidP="00A77F3F">
            <w:pPr>
              <w:rPr>
                <w:b/>
                <w:color w:val="FF0000"/>
              </w:rPr>
            </w:pPr>
            <w:r>
              <w:t>Although it does not happen often, CIPPS may assign the same sequence number to different transactions. Occasionally, this may happen within the same pay cycle. Since most deletions are for specific employees the current process of entering the employee number, entry date, and sequence number is sufficient to identify the transaction which should be deleted. Batch balance (IBC) transactions are not employee-specific. The process for keying a deletion for IBC transactions is to enter the entry date and sequence number.  Because no employee number is entered to delete IBC transactions, CIPPS will look for and delete ALL transactions having that assigned sequence number and entry date.</w:t>
            </w:r>
          </w:p>
        </w:tc>
      </w:tr>
    </w:tbl>
    <w:p w:rsidR="009B6632" w:rsidRDefault="009B6632" w:rsidP="009B6632">
      <w:pPr>
        <w:pStyle w:val="BlockLine"/>
        <w:ind w:left="1350"/>
        <w:rPr>
          <w:sz w:val="16"/>
          <w:szCs w:val="16"/>
        </w:rPr>
      </w:pPr>
    </w:p>
    <w:tbl>
      <w:tblPr>
        <w:tblW w:w="10368" w:type="dxa"/>
        <w:tblLayout w:type="fixed"/>
        <w:tblLook w:val="0000"/>
      </w:tblPr>
      <w:tblGrid>
        <w:gridCol w:w="1728"/>
        <w:gridCol w:w="8640"/>
      </w:tblGrid>
      <w:tr w:rsidR="009B6632" w:rsidTr="00A77F3F">
        <w:trPr>
          <w:cantSplit/>
        </w:trPr>
        <w:tc>
          <w:tcPr>
            <w:tcW w:w="1728" w:type="dxa"/>
          </w:tcPr>
          <w:p w:rsidR="009B6632" w:rsidRPr="00014F61" w:rsidRDefault="009B6632" w:rsidP="00A77F3F">
            <w:pPr>
              <w:rPr>
                <w:b/>
              </w:rPr>
            </w:pPr>
            <w:r>
              <w:rPr>
                <w:b/>
              </w:rPr>
              <w:t>HSBFM Best Practices</w:t>
            </w:r>
          </w:p>
        </w:tc>
        <w:tc>
          <w:tcPr>
            <w:tcW w:w="8640" w:type="dxa"/>
          </w:tcPr>
          <w:p w:rsidR="009B6632" w:rsidRDefault="009B6632" w:rsidP="00A77F3F">
            <w:pPr>
              <w:tabs>
                <w:tab w:val="left" w:pos="1440"/>
                <w:tab w:val="left" w:pos="2520"/>
              </w:tabs>
              <w:jc w:val="both"/>
            </w:pPr>
            <w:r>
              <w:t>To minimize the risk of inadvertently deleting the wrong transaction, DOA recommends the following best practices:</w:t>
            </w:r>
          </w:p>
          <w:p w:rsidR="009B6632" w:rsidRDefault="009B6632" w:rsidP="00A77F3F">
            <w:pPr>
              <w:tabs>
                <w:tab w:val="left" w:pos="1440"/>
                <w:tab w:val="left" w:pos="2520"/>
              </w:tabs>
              <w:jc w:val="both"/>
            </w:pPr>
          </w:p>
          <w:p w:rsidR="009B6632" w:rsidRDefault="009B6632" w:rsidP="009B6632">
            <w:pPr>
              <w:numPr>
                <w:ilvl w:val="0"/>
                <w:numId w:val="25"/>
              </w:numPr>
              <w:jc w:val="both"/>
            </w:pPr>
            <w:r>
              <w:t>Establish internal procedures to limit who is permitted to key deletion transactions on HSBFM.  Also, ensure that data entry on HSBFM is verified by another staff member.</w:t>
            </w:r>
          </w:p>
          <w:p w:rsidR="009B6632" w:rsidRDefault="009B6632" w:rsidP="009B6632">
            <w:pPr>
              <w:numPr>
                <w:ilvl w:val="0"/>
                <w:numId w:val="25"/>
              </w:numPr>
              <w:jc w:val="both"/>
            </w:pPr>
            <w:r>
              <w:t>Always refer to CIPPS Pending Transactions screens H1K01, H1K02, and H1K03 to identify transactions for deletion. Report 1017 only lists transactions keyed on a specific date. If sequence numbers have been changed in CIPPS from one day to the next, this information may be incorrect.</w:t>
            </w:r>
          </w:p>
          <w:p w:rsidR="009B6632" w:rsidRDefault="009B6632" w:rsidP="009B6632">
            <w:pPr>
              <w:numPr>
                <w:ilvl w:val="0"/>
                <w:numId w:val="25"/>
              </w:numPr>
              <w:jc w:val="both"/>
            </w:pPr>
            <w:r>
              <w:t>Before deleting an IBC transaction, verify that the sequence number is unique and not assigned to any other transaction. The easiest way to do this is search for the sequence number on Report 1004 EDIT.</w:t>
            </w:r>
          </w:p>
          <w:p w:rsidR="009B6632" w:rsidRPr="0077211D" w:rsidRDefault="009B6632" w:rsidP="009B6632">
            <w:pPr>
              <w:numPr>
                <w:ilvl w:val="0"/>
                <w:numId w:val="25"/>
              </w:numPr>
              <w:jc w:val="both"/>
            </w:pPr>
            <w:r>
              <w:t>Do not use the Sequence Number 2 field.  If you key Sequence Number 2 and you have a typo, you could delete an entire range accidently. Let CIPPS automatically insert Sequence Number 1 in the Sequence Number 2 field for you.  Deletions should be entered one transaction per line on HSBFM.</w:t>
            </w:r>
          </w:p>
          <w:p w:rsidR="009B6632" w:rsidRPr="00D1647B" w:rsidRDefault="009B6632" w:rsidP="009B6632">
            <w:pPr>
              <w:numPr>
                <w:ilvl w:val="0"/>
                <w:numId w:val="25"/>
              </w:numPr>
              <w:jc w:val="both"/>
            </w:pPr>
            <w:r>
              <w:t xml:space="preserve">Contact </w:t>
            </w:r>
            <w:hyperlink r:id="rId13" w:history="1">
              <w:r w:rsidRPr="00DF1E25">
                <w:rPr>
                  <w:rStyle w:val="Hyperlink"/>
                </w:rPr>
                <w:t>payroll@doa.virgina.gov</w:t>
              </w:r>
            </w:hyperlink>
            <w:r>
              <w:t xml:space="preserve"> for assistance if you find that a sequence number has been duplicated, or if you need to delete a large number of transactions.</w:t>
            </w:r>
          </w:p>
        </w:tc>
      </w:tr>
    </w:tbl>
    <w:p w:rsidR="00A06C92" w:rsidRDefault="00A06C92" w:rsidP="00A06C92">
      <w:pPr>
        <w:pStyle w:val="BlockLine"/>
        <w:ind w:left="1350"/>
        <w:rPr>
          <w:sz w:val="16"/>
          <w:szCs w:val="16"/>
        </w:rPr>
      </w:pPr>
    </w:p>
    <w:tbl>
      <w:tblPr>
        <w:tblW w:w="10368" w:type="dxa"/>
        <w:tblLayout w:type="fixed"/>
        <w:tblLook w:val="0000"/>
      </w:tblPr>
      <w:tblGrid>
        <w:gridCol w:w="1728"/>
        <w:gridCol w:w="8640"/>
      </w:tblGrid>
      <w:tr w:rsidR="00A06C92" w:rsidTr="00A77F3F">
        <w:trPr>
          <w:cantSplit/>
        </w:trPr>
        <w:tc>
          <w:tcPr>
            <w:tcW w:w="1728" w:type="dxa"/>
          </w:tcPr>
          <w:p w:rsidR="00A06C92" w:rsidRDefault="00A06C92" w:rsidP="00A77F3F">
            <w:pPr>
              <w:pStyle w:val="Heading5"/>
            </w:pPr>
            <w:r>
              <w:t xml:space="preserve">Never Remove Manual </w:t>
            </w:r>
            <w:proofErr w:type="spellStart"/>
            <w:r>
              <w:t>Paysets</w:t>
            </w:r>
            <w:proofErr w:type="spellEnd"/>
            <w:r>
              <w:t xml:space="preserve"> Using HSBFM</w:t>
            </w:r>
          </w:p>
          <w:p w:rsidR="00A06C92" w:rsidRDefault="00A06C92" w:rsidP="00A77F3F">
            <w:pPr>
              <w:pStyle w:val="Heading5"/>
            </w:pPr>
          </w:p>
        </w:tc>
        <w:tc>
          <w:tcPr>
            <w:tcW w:w="8640" w:type="dxa"/>
          </w:tcPr>
          <w:p w:rsidR="00A06C92" w:rsidRDefault="00A06C92" w:rsidP="00A77F3F">
            <w:pPr>
              <w:autoSpaceDE w:val="0"/>
              <w:autoSpaceDN w:val="0"/>
              <w:adjustRightInd w:val="0"/>
              <w:rPr>
                <w:szCs w:val="24"/>
              </w:rPr>
            </w:pPr>
            <w:r>
              <w:rPr>
                <w:szCs w:val="24"/>
              </w:rPr>
              <w:t xml:space="preserve">Once a manual </w:t>
            </w:r>
            <w:proofErr w:type="spellStart"/>
            <w:r>
              <w:rPr>
                <w:szCs w:val="24"/>
              </w:rPr>
              <w:t>payset</w:t>
            </w:r>
            <w:proofErr w:type="spellEnd"/>
            <w:r>
              <w:rPr>
                <w:szCs w:val="24"/>
              </w:rPr>
              <w:t xml:space="preserve"> (including deduction and tax refunds) is processed, the employee </w:t>
            </w:r>
            <w:proofErr w:type="spellStart"/>
            <w:r>
              <w:rPr>
                <w:szCs w:val="24"/>
              </w:rPr>
              <w:t>masterfile</w:t>
            </w:r>
            <w:proofErr w:type="spellEnd"/>
            <w:r>
              <w:rPr>
                <w:szCs w:val="24"/>
              </w:rPr>
              <w:t xml:space="preserve"> has been updated. This is true even if no </w:t>
            </w:r>
            <w:proofErr w:type="spellStart"/>
            <w:r>
              <w:rPr>
                <w:szCs w:val="24"/>
              </w:rPr>
              <w:t>payrun</w:t>
            </w:r>
            <w:proofErr w:type="spellEnd"/>
            <w:r>
              <w:rPr>
                <w:szCs w:val="24"/>
              </w:rPr>
              <w:t xml:space="preserve"> (edit or pay) has been requested for that employee’s frequency.  You can see the effects of this update on the Report 1006, Change Listing.  Therefore, it is imperative that those transaction lines generated by a manual </w:t>
            </w:r>
            <w:proofErr w:type="spellStart"/>
            <w:r>
              <w:rPr>
                <w:szCs w:val="24"/>
              </w:rPr>
              <w:t>payset</w:t>
            </w:r>
            <w:proofErr w:type="spellEnd"/>
            <w:r>
              <w:rPr>
                <w:szCs w:val="24"/>
              </w:rPr>
              <w:t xml:space="preserve"> NEVER be removed using HSBFM.</w:t>
            </w:r>
          </w:p>
          <w:p w:rsidR="00A06C92" w:rsidRDefault="00A06C92" w:rsidP="00A77F3F">
            <w:pPr>
              <w:autoSpaceDE w:val="0"/>
              <w:autoSpaceDN w:val="0"/>
              <w:adjustRightInd w:val="0"/>
              <w:rPr>
                <w:szCs w:val="24"/>
              </w:rPr>
            </w:pPr>
          </w:p>
          <w:p w:rsidR="00A06C92" w:rsidRDefault="00A06C92" w:rsidP="00A77F3F">
            <w:pPr>
              <w:pStyle w:val="Extmemo"/>
              <w:spacing w:line="240" w:lineRule="auto"/>
              <w:jc w:val="both"/>
              <w:rPr>
                <w:szCs w:val="24"/>
              </w:rPr>
            </w:pPr>
            <w:r>
              <w:rPr>
                <w:szCs w:val="24"/>
              </w:rPr>
              <w:t xml:space="preserve">If a manual </w:t>
            </w:r>
            <w:proofErr w:type="spellStart"/>
            <w:r>
              <w:rPr>
                <w:szCs w:val="24"/>
              </w:rPr>
              <w:t>payset</w:t>
            </w:r>
            <w:proofErr w:type="spellEnd"/>
            <w:r>
              <w:rPr>
                <w:szCs w:val="24"/>
              </w:rPr>
              <w:t xml:space="preserve"> needs to be backed out, enter another manual </w:t>
            </w:r>
            <w:proofErr w:type="spellStart"/>
            <w:r>
              <w:rPr>
                <w:szCs w:val="24"/>
              </w:rPr>
              <w:t>payset</w:t>
            </w:r>
            <w:proofErr w:type="spellEnd"/>
            <w:r>
              <w:rPr>
                <w:szCs w:val="24"/>
              </w:rPr>
              <w:t xml:space="preserve"> identical to the first with the exception of the Adjustment Indicator (AI).  Enter the opposite values in the AI field as originally entered.  If a ‘P’ was used, enter an ‘M’.  If a “+’ was used, enter a ‘-‘.  This will systematically reverse the effect of the original manual </w:t>
            </w:r>
            <w:proofErr w:type="spellStart"/>
            <w:r>
              <w:rPr>
                <w:szCs w:val="24"/>
              </w:rPr>
              <w:t>payset</w:t>
            </w:r>
            <w:proofErr w:type="spellEnd"/>
            <w:r>
              <w:rPr>
                <w:szCs w:val="24"/>
              </w:rPr>
              <w:t>.</w:t>
            </w:r>
          </w:p>
          <w:p w:rsidR="00A06C92" w:rsidRDefault="00A06C92" w:rsidP="00A77F3F">
            <w:pPr>
              <w:pStyle w:val="Extmemo"/>
              <w:spacing w:line="240" w:lineRule="auto"/>
              <w:jc w:val="both"/>
              <w:rPr>
                <w:szCs w:val="24"/>
              </w:rPr>
            </w:pPr>
          </w:p>
          <w:p w:rsidR="00A06C92" w:rsidRDefault="00A06C92" w:rsidP="00A77F3F">
            <w:pPr>
              <w:pStyle w:val="Extmemo"/>
              <w:spacing w:line="240" w:lineRule="auto"/>
              <w:jc w:val="both"/>
            </w:pPr>
            <w:r>
              <w:rPr>
                <w:szCs w:val="24"/>
              </w:rPr>
              <w:t xml:space="preserve">Contact </w:t>
            </w:r>
            <w:hyperlink r:id="rId14" w:history="1">
              <w:r w:rsidRPr="00DF1E25">
                <w:rPr>
                  <w:rStyle w:val="Hyperlink"/>
                </w:rPr>
                <w:t>payroll@doa.virgina.gov</w:t>
              </w:r>
            </w:hyperlink>
            <w:r>
              <w:t xml:space="preserve"> if you have questions.</w:t>
            </w:r>
          </w:p>
        </w:tc>
      </w:tr>
    </w:tbl>
    <w:p w:rsidR="00D86393" w:rsidRDefault="00D86393" w:rsidP="00D86393">
      <w:pPr>
        <w:pStyle w:val="BlockLine"/>
        <w:ind w:left="1350"/>
        <w:rPr>
          <w:sz w:val="16"/>
          <w:szCs w:val="16"/>
        </w:rPr>
      </w:pPr>
    </w:p>
    <w:p w:rsidR="008F7066" w:rsidRPr="008F7066" w:rsidRDefault="008F7066" w:rsidP="008F7066"/>
    <w:sectPr w:rsidR="008F7066" w:rsidRPr="008F7066" w:rsidSect="006B0854">
      <w:headerReference w:type="even" r:id="rId15"/>
      <w:headerReference w:type="default" r:id="rId16"/>
      <w:footerReference w:type="even" r:id="rId17"/>
      <w:footerReference w:type="default" r:id="rId18"/>
      <w:pgSz w:w="12240" w:h="15840" w:code="1"/>
      <w:pgMar w:top="360" w:right="1080" w:bottom="360" w:left="1152" w:header="288"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855" w:rsidRDefault="00556855">
      <w:r>
        <w:separator/>
      </w:r>
    </w:p>
  </w:endnote>
  <w:endnote w:type="continuationSeparator" w:id="0">
    <w:p w:rsidR="00556855" w:rsidRDefault="00556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CKOJ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32" w:rsidRDefault="00096F0A">
    <w:pPr>
      <w:pStyle w:val="Footer"/>
      <w:framePr w:wrap="around" w:vAnchor="text" w:hAnchor="margin" w:xAlign="outside" w:y="1"/>
    </w:pPr>
    <w:r>
      <w:fldChar w:fldCharType="begin"/>
    </w:r>
    <w:r w:rsidR="006F1B32">
      <w:instrText xml:space="preserve">PAGE  </w:instrText>
    </w:r>
    <w:r>
      <w:fldChar w:fldCharType="end"/>
    </w:r>
  </w:p>
  <w:p w:rsidR="006F1B32" w:rsidRDefault="006F1B3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32" w:rsidRDefault="006F1B32" w:rsidP="00125A7B">
    <w:pPr>
      <w:pStyle w:val="Footer"/>
      <w:pBdr>
        <w:top w:val="single" w:sz="6" w:space="0" w:color="auto"/>
      </w:pBdr>
      <w:tabs>
        <w:tab w:val="clear" w:pos="4320"/>
        <w:tab w:val="clear" w:pos="8640"/>
        <w:tab w:val="left" w:pos="5940"/>
      </w:tabs>
      <w:ind w:right="-414"/>
      <w:jc w:val="center"/>
      <w:rPr>
        <w:rStyle w:val="PageNumber"/>
        <w:sz w:val="20"/>
      </w:rPr>
    </w:pPr>
    <w:r w:rsidRPr="006B0854">
      <w:rPr>
        <w:i/>
        <w:snapToGrid w:val="0"/>
        <w:sz w:val="20"/>
      </w:rPr>
      <w:t xml:space="preserve">Page </w:t>
    </w:r>
    <w:r w:rsidR="00096F0A" w:rsidRPr="006B0854">
      <w:rPr>
        <w:rStyle w:val="PageNumber"/>
        <w:sz w:val="20"/>
      </w:rPr>
      <w:fldChar w:fldCharType="begin"/>
    </w:r>
    <w:r w:rsidRPr="006B0854">
      <w:rPr>
        <w:rStyle w:val="PageNumber"/>
        <w:sz w:val="20"/>
      </w:rPr>
      <w:instrText xml:space="preserve"> PAGE </w:instrText>
    </w:r>
    <w:r w:rsidR="00096F0A" w:rsidRPr="006B0854">
      <w:rPr>
        <w:rStyle w:val="PageNumber"/>
        <w:sz w:val="20"/>
      </w:rPr>
      <w:fldChar w:fldCharType="separate"/>
    </w:r>
    <w:r w:rsidR="00981B95">
      <w:rPr>
        <w:rStyle w:val="PageNumber"/>
        <w:noProof/>
        <w:sz w:val="20"/>
      </w:rPr>
      <w:t>4</w:t>
    </w:r>
    <w:r w:rsidR="00096F0A" w:rsidRPr="006B0854">
      <w:rPr>
        <w:rStyle w:val="PageNumber"/>
        <w:sz w:val="20"/>
      </w:rPr>
      <w:fldChar w:fldCharType="end"/>
    </w:r>
    <w:r w:rsidRPr="006B0854">
      <w:rPr>
        <w:rStyle w:val="PageNumber"/>
        <w:sz w:val="20"/>
      </w:rPr>
      <w:t xml:space="preserve"> of </w:t>
    </w:r>
    <w:r w:rsidR="00096F0A" w:rsidRPr="006B0854">
      <w:rPr>
        <w:rStyle w:val="PageNumber"/>
        <w:sz w:val="20"/>
      </w:rPr>
      <w:fldChar w:fldCharType="begin"/>
    </w:r>
    <w:r w:rsidRPr="006B0854">
      <w:rPr>
        <w:rStyle w:val="PageNumber"/>
        <w:sz w:val="20"/>
      </w:rPr>
      <w:instrText xml:space="preserve"> NUMPAGES </w:instrText>
    </w:r>
    <w:r w:rsidR="00096F0A" w:rsidRPr="006B0854">
      <w:rPr>
        <w:rStyle w:val="PageNumber"/>
        <w:sz w:val="20"/>
      </w:rPr>
      <w:fldChar w:fldCharType="separate"/>
    </w:r>
    <w:r w:rsidR="00981B95">
      <w:rPr>
        <w:rStyle w:val="PageNumber"/>
        <w:noProof/>
        <w:sz w:val="20"/>
      </w:rPr>
      <w:t>4</w:t>
    </w:r>
    <w:r w:rsidR="00096F0A" w:rsidRPr="006B0854">
      <w:rPr>
        <w:rStyle w:val="PageNumber"/>
        <w:sz w:val="20"/>
      </w:rPr>
      <w:fldChar w:fldCharType="end"/>
    </w:r>
  </w:p>
  <w:p w:rsidR="00125A7B" w:rsidRPr="006B0854" w:rsidRDefault="00125A7B" w:rsidP="00125A7B">
    <w:pPr>
      <w:pStyle w:val="Footer"/>
      <w:pBdr>
        <w:top w:val="single" w:sz="6" w:space="0" w:color="auto"/>
      </w:pBdr>
      <w:tabs>
        <w:tab w:val="clear" w:pos="4320"/>
        <w:tab w:val="clear" w:pos="8640"/>
        <w:tab w:val="left" w:pos="5940"/>
      </w:tabs>
      <w:ind w:right="-414"/>
      <w:jc w:val="center"/>
      <w:rPr>
        <w:i/>
        <w:snapToGrid w:val="0"/>
        <w:sz w:val="20"/>
      </w:rPr>
    </w:pPr>
  </w:p>
  <w:p w:rsidR="006F1B32" w:rsidRDefault="00096F0A" w:rsidP="00125A7B">
    <w:pPr>
      <w:pStyle w:val="NormalWeb"/>
      <w:spacing w:before="0" w:beforeAutospacing="0" w:after="0" w:afterAutospacing="0"/>
      <w:jc w:val="center"/>
      <w:rPr>
        <w:sz w:val="20"/>
        <w:szCs w:val="20"/>
      </w:rPr>
    </w:pPr>
    <w:hyperlink r:id="rId1" w:tooltip="http://www.doa.virginia.gov/Payroll/Payroll_Bulletins/Payroll_Bulletins_Main.cfm" w:history="1">
      <w:r w:rsidR="006F1B32" w:rsidRPr="006B0854">
        <w:rPr>
          <w:rStyle w:val="Hyperlink"/>
          <w:rFonts w:ascii="Times New Roman" w:hAnsi="Times New Roman"/>
          <w:i/>
          <w:iCs/>
          <w:snapToGrid w:val="0"/>
          <w:sz w:val="20"/>
          <w:szCs w:val="20"/>
        </w:rPr>
        <w:t>http://www.doa.virginia.gov/Payroll/Payroll_Bulletins/Payroll_Bulletins_Main.cfm</w:t>
      </w:r>
    </w:hyperlink>
  </w:p>
  <w:p w:rsidR="00125A7B" w:rsidRPr="00125A7B" w:rsidRDefault="00125A7B" w:rsidP="00125A7B">
    <w:pPr>
      <w:pStyle w:val="NormalWeb"/>
      <w:spacing w:before="0" w:beforeAutospacing="0" w:after="0" w:afterAutospacing="0"/>
      <w:jc w:val="center"/>
      <w:rPr>
        <w:rFonts w:ascii="Times New Roman" w:hAnsi="Times New Roman"/>
        <w:snapToGrid w:val="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855" w:rsidRDefault="00556855">
      <w:r>
        <w:separator/>
      </w:r>
    </w:p>
  </w:footnote>
  <w:footnote w:type="continuationSeparator" w:id="0">
    <w:p w:rsidR="00556855" w:rsidRDefault="00556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32" w:rsidRDefault="00096F0A">
    <w:pPr>
      <w:pStyle w:val="Header"/>
      <w:framePr w:wrap="around" w:vAnchor="text" w:hAnchor="margin" w:xAlign="center" w:y="1"/>
      <w:rPr>
        <w:rStyle w:val="PageNumber"/>
      </w:rPr>
    </w:pPr>
    <w:r>
      <w:rPr>
        <w:rStyle w:val="PageNumber"/>
      </w:rPr>
      <w:fldChar w:fldCharType="begin"/>
    </w:r>
    <w:r w:rsidR="006F1B32">
      <w:rPr>
        <w:rStyle w:val="PageNumber"/>
      </w:rPr>
      <w:instrText xml:space="preserve">PAGE  </w:instrText>
    </w:r>
    <w:r>
      <w:rPr>
        <w:rStyle w:val="PageNumber"/>
      </w:rPr>
      <w:fldChar w:fldCharType="end"/>
    </w:r>
  </w:p>
  <w:p w:rsidR="006F1B32" w:rsidRDefault="006F1B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366"/>
      <w:gridCol w:w="3366"/>
      <w:gridCol w:w="3366"/>
    </w:tblGrid>
    <w:tr w:rsidR="006F1B32" w:rsidTr="003A6423">
      <w:trPr>
        <w:cantSplit/>
      </w:trPr>
      <w:tc>
        <w:tcPr>
          <w:tcW w:w="3366" w:type="dxa"/>
          <w:tcBorders>
            <w:bottom w:val="double" w:sz="6" w:space="0" w:color="auto"/>
          </w:tcBorders>
        </w:tcPr>
        <w:p w:rsidR="006F1B32" w:rsidRDefault="006F1B32" w:rsidP="003A6423">
          <w:pPr>
            <w:pStyle w:val="Header"/>
            <w:rPr>
              <w:b/>
              <w:sz w:val="20"/>
            </w:rPr>
          </w:pPr>
          <w:r>
            <w:rPr>
              <w:b/>
              <w:sz w:val="20"/>
            </w:rPr>
            <w:t>Calendar Year  2014</w:t>
          </w:r>
        </w:p>
      </w:tc>
      <w:tc>
        <w:tcPr>
          <w:tcW w:w="3366" w:type="dxa"/>
          <w:tcBorders>
            <w:bottom w:val="double" w:sz="6" w:space="0" w:color="auto"/>
          </w:tcBorders>
        </w:tcPr>
        <w:p w:rsidR="006F1B32" w:rsidRDefault="006F1B32" w:rsidP="00751E4F">
          <w:pPr>
            <w:pStyle w:val="Header"/>
            <w:jc w:val="center"/>
            <w:rPr>
              <w:b/>
              <w:sz w:val="20"/>
            </w:rPr>
          </w:pPr>
          <w:r>
            <w:rPr>
              <w:b/>
              <w:sz w:val="20"/>
            </w:rPr>
            <w:t xml:space="preserve">June </w:t>
          </w:r>
          <w:r w:rsidR="00751E4F">
            <w:rPr>
              <w:b/>
              <w:sz w:val="20"/>
            </w:rPr>
            <w:t>6</w:t>
          </w:r>
          <w:r>
            <w:rPr>
              <w:b/>
              <w:sz w:val="20"/>
            </w:rPr>
            <w:t>, 2014</w:t>
          </w:r>
        </w:p>
      </w:tc>
      <w:tc>
        <w:tcPr>
          <w:tcW w:w="3366" w:type="dxa"/>
          <w:tcBorders>
            <w:bottom w:val="double" w:sz="6" w:space="0" w:color="auto"/>
          </w:tcBorders>
        </w:tcPr>
        <w:p w:rsidR="006F1B32" w:rsidRDefault="006F1B32" w:rsidP="00751E4F">
          <w:pPr>
            <w:pStyle w:val="Header"/>
            <w:jc w:val="right"/>
            <w:rPr>
              <w:b/>
              <w:sz w:val="20"/>
            </w:rPr>
          </w:pPr>
          <w:r>
            <w:rPr>
              <w:b/>
              <w:sz w:val="20"/>
            </w:rPr>
            <w:t>Volume 2014-1</w:t>
          </w:r>
          <w:r w:rsidR="00751E4F">
            <w:rPr>
              <w:b/>
              <w:sz w:val="20"/>
            </w:rPr>
            <w:t>0</w:t>
          </w:r>
        </w:p>
      </w:tc>
    </w:tr>
  </w:tbl>
  <w:p w:rsidR="006F1B32" w:rsidRDefault="006F1B32" w:rsidP="006D16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F569F2"/>
    <w:multiLevelType w:val="hybridMultilevel"/>
    <w:tmpl w:val="BB680664"/>
    <w:lvl w:ilvl="0" w:tplc="D33EB1F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4071506"/>
    <w:multiLevelType w:val="hybridMultilevel"/>
    <w:tmpl w:val="DCDC7592"/>
    <w:lvl w:ilvl="0" w:tplc="D40A30D6">
      <w:start w:val="1"/>
      <w:numFmt w:val="decimal"/>
      <w:lvlText w:val="(%1)"/>
      <w:lvlJc w:val="left"/>
      <w:pPr>
        <w:tabs>
          <w:tab w:val="num" w:pos="750"/>
        </w:tabs>
        <w:ind w:left="750" w:hanging="39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BD5F2D"/>
    <w:multiLevelType w:val="hybridMultilevel"/>
    <w:tmpl w:val="15164F9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1CEF3348"/>
    <w:multiLevelType w:val="hybridMultilevel"/>
    <w:tmpl w:val="1C9AAF42"/>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6">
    <w:nsid w:val="1F682345"/>
    <w:multiLevelType w:val="multilevel"/>
    <w:tmpl w:val="4FA25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0BF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D9A217D"/>
    <w:multiLevelType w:val="hybridMultilevel"/>
    <w:tmpl w:val="E3E0B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34B2C"/>
    <w:multiLevelType w:val="hybridMultilevel"/>
    <w:tmpl w:val="4E825F94"/>
    <w:lvl w:ilvl="0" w:tplc="824C0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F45288"/>
    <w:multiLevelType w:val="hybridMultilevel"/>
    <w:tmpl w:val="D5B88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1A6450"/>
    <w:multiLevelType w:val="hybridMultilevel"/>
    <w:tmpl w:val="A4027708"/>
    <w:lvl w:ilvl="0" w:tplc="07FC94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13791"/>
    <w:multiLevelType w:val="hybridMultilevel"/>
    <w:tmpl w:val="CF8EF4E0"/>
    <w:lvl w:ilvl="0" w:tplc="5DDC4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0C3473"/>
    <w:multiLevelType w:val="hybridMultilevel"/>
    <w:tmpl w:val="5772385E"/>
    <w:lvl w:ilvl="0" w:tplc="F5F41A4C">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5">
    <w:nsid w:val="4D6F6D1F"/>
    <w:multiLevelType w:val="hybridMultilevel"/>
    <w:tmpl w:val="95C40C1C"/>
    <w:lvl w:ilvl="0" w:tplc="D29064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nsid w:val="54A451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8D528BE"/>
    <w:multiLevelType w:val="hybridMultilevel"/>
    <w:tmpl w:val="7640F6E0"/>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20">
    <w:nsid w:val="5B4E011F"/>
    <w:multiLevelType w:val="hybridMultilevel"/>
    <w:tmpl w:val="4FA250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F97620"/>
    <w:multiLevelType w:val="hybridMultilevel"/>
    <w:tmpl w:val="A3B4D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372C5D"/>
    <w:multiLevelType w:val="hybridMultilevel"/>
    <w:tmpl w:val="3022D476"/>
    <w:lvl w:ilvl="0" w:tplc="0409000D">
      <w:start w:val="1"/>
      <w:numFmt w:val="bullet"/>
      <w:lvlText w:val=""/>
      <w:lvlJc w:val="left"/>
      <w:pPr>
        <w:tabs>
          <w:tab w:val="num" w:pos="540"/>
        </w:tabs>
        <w:ind w:left="540" w:hanging="360"/>
      </w:pPr>
      <w:rPr>
        <w:rFonts w:ascii="Wingdings" w:hAnsi="Wingdings"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64420449"/>
    <w:multiLevelType w:val="hybridMultilevel"/>
    <w:tmpl w:val="32FEBEA8"/>
    <w:lvl w:ilvl="0" w:tplc="BBC61C88">
      <w:start w:val="1"/>
      <w:numFmt w:val="bullet"/>
      <w:lvlText w:val="o"/>
      <w:lvlJc w:val="left"/>
      <w:pPr>
        <w:tabs>
          <w:tab w:val="num" w:pos="2160"/>
        </w:tabs>
        <w:ind w:left="2160"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875A76"/>
    <w:multiLevelType w:val="hybridMultilevel"/>
    <w:tmpl w:val="A3B4D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E73821"/>
    <w:multiLevelType w:val="hybridMultilevel"/>
    <w:tmpl w:val="2AF67B9A"/>
    <w:lvl w:ilvl="0" w:tplc="5B0C4D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26"/>
  </w:num>
  <w:num w:numId="2">
    <w:abstractNumId w:val="16"/>
  </w:num>
  <w:num w:numId="3">
    <w:abstractNumId w:val="1"/>
  </w:num>
  <w:num w:numId="4">
    <w:abstractNumId w:val="18"/>
  </w:num>
  <w:num w:numId="5">
    <w:abstractNumId w:val="11"/>
  </w:num>
  <w:num w:numId="6">
    <w:abstractNumId w:val="19"/>
  </w:num>
  <w:num w:numId="7">
    <w:abstractNumId w:val="14"/>
  </w:num>
  <w:num w:numId="8">
    <w:abstractNumId w:val="23"/>
  </w:num>
  <w:num w:numId="9">
    <w:abstractNumId w:val="5"/>
  </w:num>
  <w:num w:numId="10">
    <w:abstractNumId w:val="0"/>
    <w:lvlOverride w:ilvl="0">
      <w:lvl w:ilvl="0">
        <w:start w:val="1"/>
        <w:numFmt w:val="bullet"/>
        <w:lvlText w:val=""/>
        <w:legacy w:legacy="1" w:legacySpace="0" w:legacyIndent="360"/>
        <w:lvlJc w:val="left"/>
        <w:pPr>
          <w:ind w:left="2232" w:hanging="360"/>
        </w:pPr>
        <w:rPr>
          <w:rFonts w:ascii="Symbol" w:hAnsi="Symbol" w:hint="default"/>
        </w:rPr>
      </w:lvl>
    </w:lvlOverride>
  </w:num>
  <w:num w:numId="11">
    <w:abstractNumId w:val="7"/>
  </w:num>
  <w:num w:numId="12">
    <w:abstractNumId w:val="17"/>
  </w:num>
  <w:num w:numId="13">
    <w:abstractNumId w:val="9"/>
  </w:num>
  <w:num w:numId="14">
    <w:abstractNumId w:val="20"/>
  </w:num>
  <w:num w:numId="15">
    <w:abstractNumId w:val="6"/>
  </w:num>
  <w:num w:numId="16">
    <w:abstractNumId w:val="13"/>
  </w:num>
  <w:num w:numId="17">
    <w:abstractNumId w:val="15"/>
  </w:num>
  <w:num w:numId="18">
    <w:abstractNumId w:val="25"/>
  </w:num>
  <w:num w:numId="19">
    <w:abstractNumId w:val="3"/>
  </w:num>
  <w:num w:numId="20">
    <w:abstractNumId w:val="10"/>
  </w:num>
  <w:num w:numId="21">
    <w:abstractNumId w:val="8"/>
  </w:num>
  <w:num w:numId="22">
    <w:abstractNumId w:val="24"/>
  </w:num>
  <w:num w:numId="23">
    <w:abstractNumId w:val="21"/>
  </w:num>
  <w:num w:numId="24">
    <w:abstractNumId w:val="2"/>
  </w:num>
  <w:num w:numId="25">
    <w:abstractNumId w:val="12"/>
  </w:num>
  <w:num w:numId="26">
    <w:abstractNumId w:val="22"/>
  </w:num>
  <w:num w:numId="2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F01"/>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0D0C78"/>
    <w:rsid w:val="0000074E"/>
    <w:rsid w:val="00003103"/>
    <w:rsid w:val="000103E2"/>
    <w:rsid w:val="00012D8C"/>
    <w:rsid w:val="0001462B"/>
    <w:rsid w:val="00014F61"/>
    <w:rsid w:val="0001607D"/>
    <w:rsid w:val="000161E7"/>
    <w:rsid w:val="0001680A"/>
    <w:rsid w:val="00020152"/>
    <w:rsid w:val="000229A0"/>
    <w:rsid w:val="000229CC"/>
    <w:rsid w:val="000229E0"/>
    <w:rsid w:val="00025124"/>
    <w:rsid w:val="00026A18"/>
    <w:rsid w:val="00026AF7"/>
    <w:rsid w:val="00026DA8"/>
    <w:rsid w:val="00032753"/>
    <w:rsid w:val="00032FF0"/>
    <w:rsid w:val="00033B6E"/>
    <w:rsid w:val="00033FE4"/>
    <w:rsid w:val="00035FF5"/>
    <w:rsid w:val="00036F09"/>
    <w:rsid w:val="0003720A"/>
    <w:rsid w:val="00041E4D"/>
    <w:rsid w:val="00043BD6"/>
    <w:rsid w:val="00043EB8"/>
    <w:rsid w:val="00057621"/>
    <w:rsid w:val="00057F0C"/>
    <w:rsid w:val="0006053D"/>
    <w:rsid w:val="00062062"/>
    <w:rsid w:val="00062930"/>
    <w:rsid w:val="00065F3B"/>
    <w:rsid w:val="00067EF3"/>
    <w:rsid w:val="0007089E"/>
    <w:rsid w:val="00071B87"/>
    <w:rsid w:val="000766F8"/>
    <w:rsid w:val="0008424F"/>
    <w:rsid w:val="00090DC4"/>
    <w:rsid w:val="000938E2"/>
    <w:rsid w:val="000965D1"/>
    <w:rsid w:val="00096F0A"/>
    <w:rsid w:val="00097EFC"/>
    <w:rsid w:val="000A3698"/>
    <w:rsid w:val="000A3E0D"/>
    <w:rsid w:val="000A6E0B"/>
    <w:rsid w:val="000A7FB1"/>
    <w:rsid w:val="000C0BC3"/>
    <w:rsid w:val="000C7D99"/>
    <w:rsid w:val="000D0C78"/>
    <w:rsid w:val="000D13C1"/>
    <w:rsid w:val="000D2200"/>
    <w:rsid w:val="000E4ADF"/>
    <w:rsid w:val="000E578D"/>
    <w:rsid w:val="000E78C4"/>
    <w:rsid w:val="000F0C16"/>
    <w:rsid w:val="000F11F4"/>
    <w:rsid w:val="000F3C74"/>
    <w:rsid w:val="000F4EEC"/>
    <w:rsid w:val="000F7034"/>
    <w:rsid w:val="000F7DD4"/>
    <w:rsid w:val="0010004E"/>
    <w:rsid w:val="00105EF0"/>
    <w:rsid w:val="00106ABD"/>
    <w:rsid w:val="001076F0"/>
    <w:rsid w:val="001123DA"/>
    <w:rsid w:val="001157CD"/>
    <w:rsid w:val="00121834"/>
    <w:rsid w:val="001218E1"/>
    <w:rsid w:val="00125A7B"/>
    <w:rsid w:val="00126FD0"/>
    <w:rsid w:val="001306C9"/>
    <w:rsid w:val="00130BA4"/>
    <w:rsid w:val="0013372D"/>
    <w:rsid w:val="001339B9"/>
    <w:rsid w:val="00135548"/>
    <w:rsid w:val="00137AFC"/>
    <w:rsid w:val="00137D8A"/>
    <w:rsid w:val="0014421E"/>
    <w:rsid w:val="00144230"/>
    <w:rsid w:val="00145AFA"/>
    <w:rsid w:val="00151504"/>
    <w:rsid w:val="0015579A"/>
    <w:rsid w:val="001606F6"/>
    <w:rsid w:val="00162F4E"/>
    <w:rsid w:val="00164282"/>
    <w:rsid w:val="00164A70"/>
    <w:rsid w:val="00165858"/>
    <w:rsid w:val="00166FFF"/>
    <w:rsid w:val="00171EA3"/>
    <w:rsid w:val="00172B53"/>
    <w:rsid w:val="00177542"/>
    <w:rsid w:val="00177BE0"/>
    <w:rsid w:val="001804FE"/>
    <w:rsid w:val="001834DC"/>
    <w:rsid w:val="001870FA"/>
    <w:rsid w:val="00191B55"/>
    <w:rsid w:val="00194C29"/>
    <w:rsid w:val="0019571A"/>
    <w:rsid w:val="00196542"/>
    <w:rsid w:val="001A3606"/>
    <w:rsid w:val="001A3620"/>
    <w:rsid w:val="001A5460"/>
    <w:rsid w:val="001A5F5E"/>
    <w:rsid w:val="001A7435"/>
    <w:rsid w:val="001B54CF"/>
    <w:rsid w:val="001C1BAA"/>
    <w:rsid w:val="001C3E49"/>
    <w:rsid w:val="001C4480"/>
    <w:rsid w:val="001C5525"/>
    <w:rsid w:val="001C7F7C"/>
    <w:rsid w:val="001D3D94"/>
    <w:rsid w:val="001D4216"/>
    <w:rsid w:val="001D460A"/>
    <w:rsid w:val="001D48AB"/>
    <w:rsid w:val="001D5D4A"/>
    <w:rsid w:val="001D79E3"/>
    <w:rsid w:val="001E07BF"/>
    <w:rsid w:val="001E2F30"/>
    <w:rsid w:val="001E3C96"/>
    <w:rsid w:val="001E4485"/>
    <w:rsid w:val="001E5A80"/>
    <w:rsid w:val="001E782C"/>
    <w:rsid w:val="001F5420"/>
    <w:rsid w:val="002004BF"/>
    <w:rsid w:val="00201537"/>
    <w:rsid w:val="002030B8"/>
    <w:rsid w:val="0020553E"/>
    <w:rsid w:val="002066C6"/>
    <w:rsid w:val="00212EA4"/>
    <w:rsid w:val="002203B3"/>
    <w:rsid w:val="00224F21"/>
    <w:rsid w:val="0022524D"/>
    <w:rsid w:val="0022655D"/>
    <w:rsid w:val="00226ACE"/>
    <w:rsid w:val="0022743B"/>
    <w:rsid w:val="0023247F"/>
    <w:rsid w:val="002325BD"/>
    <w:rsid w:val="0024291C"/>
    <w:rsid w:val="00243D1A"/>
    <w:rsid w:val="002479EA"/>
    <w:rsid w:val="00253EB4"/>
    <w:rsid w:val="00257D48"/>
    <w:rsid w:val="00260C0B"/>
    <w:rsid w:val="00265E11"/>
    <w:rsid w:val="00274B44"/>
    <w:rsid w:val="00274C19"/>
    <w:rsid w:val="0027675A"/>
    <w:rsid w:val="00277C57"/>
    <w:rsid w:val="002809D0"/>
    <w:rsid w:val="00281F58"/>
    <w:rsid w:val="00282DBA"/>
    <w:rsid w:val="0028600F"/>
    <w:rsid w:val="00295817"/>
    <w:rsid w:val="002960E4"/>
    <w:rsid w:val="00297A16"/>
    <w:rsid w:val="002B3A47"/>
    <w:rsid w:val="002B7599"/>
    <w:rsid w:val="002C2002"/>
    <w:rsid w:val="002C269D"/>
    <w:rsid w:val="002C27DB"/>
    <w:rsid w:val="002C679F"/>
    <w:rsid w:val="002D0487"/>
    <w:rsid w:val="002D234F"/>
    <w:rsid w:val="002D27FC"/>
    <w:rsid w:val="002D3213"/>
    <w:rsid w:val="002E3AAD"/>
    <w:rsid w:val="002F1953"/>
    <w:rsid w:val="00302454"/>
    <w:rsid w:val="00302768"/>
    <w:rsid w:val="00303038"/>
    <w:rsid w:val="0030517F"/>
    <w:rsid w:val="0030558C"/>
    <w:rsid w:val="0030589E"/>
    <w:rsid w:val="00306686"/>
    <w:rsid w:val="00311B33"/>
    <w:rsid w:val="003128B2"/>
    <w:rsid w:val="00312F88"/>
    <w:rsid w:val="003132E8"/>
    <w:rsid w:val="00313BFB"/>
    <w:rsid w:val="00315164"/>
    <w:rsid w:val="0031623A"/>
    <w:rsid w:val="0031717B"/>
    <w:rsid w:val="00317560"/>
    <w:rsid w:val="00323785"/>
    <w:rsid w:val="00324057"/>
    <w:rsid w:val="00326F2A"/>
    <w:rsid w:val="00333FFF"/>
    <w:rsid w:val="00334157"/>
    <w:rsid w:val="00334466"/>
    <w:rsid w:val="00336410"/>
    <w:rsid w:val="003365C3"/>
    <w:rsid w:val="00336B3A"/>
    <w:rsid w:val="00337BC3"/>
    <w:rsid w:val="0034016A"/>
    <w:rsid w:val="003446AE"/>
    <w:rsid w:val="00346DAD"/>
    <w:rsid w:val="003508C7"/>
    <w:rsid w:val="00354554"/>
    <w:rsid w:val="003562E2"/>
    <w:rsid w:val="00357597"/>
    <w:rsid w:val="00363289"/>
    <w:rsid w:val="00370C54"/>
    <w:rsid w:val="0037197F"/>
    <w:rsid w:val="003828BB"/>
    <w:rsid w:val="003851BB"/>
    <w:rsid w:val="00385E0C"/>
    <w:rsid w:val="00386583"/>
    <w:rsid w:val="003868EA"/>
    <w:rsid w:val="00387094"/>
    <w:rsid w:val="00391AA5"/>
    <w:rsid w:val="00392EEE"/>
    <w:rsid w:val="00393E85"/>
    <w:rsid w:val="00394CCF"/>
    <w:rsid w:val="00396362"/>
    <w:rsid w:val="00396BAC"/>
    <w:rsid w:val="003A1E02"/>
    <w:rsid w:val="003A2147"/>
    <w:rsid w:val="003A316A"/>
    <w:rsid w:val="003A5189"/>
    <w:rsid w:val="003A6423"/>
    <w:rsid w:val="003A6AF5"/>
    <w:rsid w:val="003A6E79"/>
    <w:rsid w:val="003B09C4"/>
    <w:rsid w:val="003B2B54"/>
    <w:rsid w:val="003B4724"/>
    <w:rsid w:val="003B54DA"/>
    <w:rsid w:val="003B743D"/>
    <w:rsid w:val="003C03DE"/>
    <w:rsid w:val="003C3132"/>
    <w:rsid w:val="003C40D9"/>
    <w:rsid w:val="003D0FEC"/>
    <w:rsid w:val="003D27B3"/>
    <w:rsid w:val="003D50C4"/>
    <w:rsid w:val="003D68D4"/>
    <w:rsid w:val="003D6CB6"/>
    <w:rsid w:val="003D700F"/>
    <w:rsid w:val="003E064C"/>
    <w:rsid w:val="003E1A5C"/>
    <w:rsid w:val="003E210F"/>
    <w:rsid w:val="003E26EB"/>
    <w:rsid w:val="003E3AB9"/>
    <w:rsid w:val="003E3ABB"/>
    <w:rsid w:val="003E48C8"/>
    <w:rsid w:val="003E6672"/>
    <w:rsid w:val="003F0F7C"/>
    <w:rsid w:val="003F2176"/>
    <w:rsid w:val="003F237F"/>
    <w:rsid w:val="003F5F10"/>
    <w:rsid w:val="00400095"/>
    <w:rsid w:val="00402E35"/>
    <w:rsid w:val="0041118C"/>
    <w:rsid w:val="004141B8"/>
    <w:rsid w:val="00414BB7"/>
    <w:rsid w:val="00417850"/>
    <w:rsid w:val="004206BA"/>
    <w:rsid w:val="0042070A"/>
    <w:rsid w:val="00424F69"/>
    <w:rsid w:val="00425797"/>
    <w:rsid w:val="004257D6"/>
    <w:rsid w:val="00432A69"/>
    <w:rsid w:val="00433EE5"/>
    <w:rsid w:val="00436D2F"/>
    <w:rsid w:val="004420B1"/>
    <w:rsid w:val="00445CB1"/>
    <w:rsid w:val="00460A7C"/>
    <w:rsid w:val="00461F84"/>
    <w:rsid w:val="00462C21"/>
    <w:rsid w:val="00465274"/>
    <w:rsid w:val="00467C81"/>
    <w:rsid w:val="004730FA"/>
    <w:rsid w:val="00474FFE"/>
    <w:rsid w:val="00476E81"/>
    <w:rsid w:val="0048234B"/>
    <w:rsid w:val="00484EC3"/>
    <w:rsid w:val="00484FE7"/>
    <w:rsid w:val="00486F48"/>
    <w:rsid w:val="0049088D"/>
    <w:rsid w:val="00491544"/>
    <w:rsid w:val="004926B7"/>
    <w:rsid w:val="004932EA"/>
    <w:rsid w:val="00495334"/>
    <w:rsid w:val="0049761B"/>
    <w:rsid w:val="004A1959"/>
    <w:rsid w:val="004A22D7"/>
    <w:rsid w:val="004A4904"/>
    <w:rsid w:val="004A4D19"/>
    <w:rsid w:val="004A5215"/>
    <w:rsid w:val="004A6C4B"/>
    <w:rsid w:val="004B2305"/>
    <w:rsid w:val="004B7548"/>
    <w:rsid w:val="004C2CD3"/>
    <w:rsid w:val="004C2ED8"/>
    <w:rsid w:val="004C2F9D"/>
    <w:rsid w:val="004C387D"/>
    <w:rsid w:val="004C4103"/>
    <w:rsid w:val="004C7CC0"/>
    <w:rsid w:val="004D2554"/>
    <w:rsid w:val="004D60C0"/>
    <w:rsid w:val="004E0617"/>
    <w:rsid w:val="004E3EE8"/>
    <w:rsid w:val="004E511C"/>
    <w:rsid w:val="004E7ACE"/>
    <w:rsid w:val="004F0E2D"/>
    <w:rsid w:val="004F3899"/>
    <w:rsid w:val="00506530"/>
    <w:rsid w:val="00507FC4"/>
    <w:rsid w:val="00510FF0"/>
    <w:rsid w:val="005154ED"/>
    <w:rsid w:val="00515DBB"/>
    <w:rsid w:val="00516186"/>
    <w:rsid w:val="005204D7"/>
    <w:rsid w:val="005214B7"/>
    <w:rsid w:val="00522BE9"/>
    <w:rsid w:val="00525311"/>
    <w:rsid w:val="005326E0"/>
    <w:rsid w:val="00532D2C"/>
    <w:rsid w:val="00534293"/>
    <w:rsid w:val="0053541A"/>
    <w:rsid w:val="005458B6"/>
    <w:rsid w:val="00545EED"/>
    <w:rsid w:val="005464B5"/>
    <w:rsid w:val="00547721"/>
    <w:rsid w:val="00556855"/>
    <w:rsid w:val="0056085F"/>
    <w:rsid w:val="005613B7"/>
    <w:rsid w:val="005628A6"/>
    <w:rsid w:val="00562AD7"/>
    <w:rsid w:val="00564E88"/>
    <w:rsid w:val="005668A2"/>
    <w:rsid w:val="00573015"/>
    <w:rsid w:val="00574539"/>
    <w:rsid w:val="005759A7"/>
    <w:rsid w:val="00575F16"/>
    <w:rsid w:val="005820DE"/>
    <w:rsid w:val="0059053C"/>
    <w:rsid w:val="005942C7"/>
    <w:rsid w:val="005A0EA6"/>
    <w:rsid w:val="005A0FAA"/>
    <w:rsid w:val="005A1B43"/>
    <w:rsid w:val="005A2D48"/>
    <w:rsid w:val="005A2EF4"/>
    <w:rsid w:val="005B35F6"/>
    <w:rsid w:val="005B4423"/>
    <w:rsid w:val="005B526D"/>
    <w:rsid w:val="005B726E"/>
    <w:rsid w:val="005C1612"/>
    <w:rsid w:val="005C25D7"/>
    <w:rsid w:val="005C2E08"/>
    <w:rsid w:val="005C3623"/>
    <w:rsid w:val="005C46F9"/>
    <w:rsid w:val="005D157B"/>
    <w:rsid w:val="005D2914"/>
    <w:rsid w:val="005D2B86"/>
    <w:rsid w:val="005D5001"/>
    <w:rsid w:val="005D6CA2"/>
    <w:rsid w:val="005D7248"/>
    <w:rsid w:val="005D72AB"/>
    <w:rsid w:val="005E3037"/>
    <w:rsid w:val="005E4C09"/>
    <w:rsid w:val="005E695C"/>
    <w:rsid w:val="005F2D46"/>
    <w:rsid w:val="005F6BB1"/>
    <w:rsid w:val="00601BAE"/>
    <w:rsid w:val="006025E7"/>
    <w:rsid w:val="00602D5C"/>
    <w:rsid w:val="00605949"/>
    <w:rsid w:val="006128CC"/>
    <w:rsid w:val="00614F99"/>
    <w:rsid w:val="006161B7"/>
    <w:rsid w:val="00621BDD"/>
    <w:rsid w:val="00623B94"/>
    <w:rsid w:val="00632767"/>
    <w:rsid w:val="00633442"/>
    <w:rsid w:val="00633EE7"/>
    <w:rsid w:val="00634B06"/>
    <w:rsid w:val="006365EF"/>
    <w:rsid w:val="0064090B"/>
    <w:rsid w:val="00642666"/>
    <w:rsid w:val="0064532E"/>
    <w:rsid w:val="006521FB"/>
    <w:rsid w:val="00653240"/>
    <w:rsid w:val="00657AA8"/>
    <w:rsid w:val="00660A34"/>
    <w:rsid w:val="00661499"/>
    <w:rsid w:val="00663266"/>
    <w:rsid w:val="00665DEC"/>
    <w:rsid w:val="006669F6"/>
    <w:rsid w:val="0067449B"/>
    <w:rsid w:val="00674709"/>
    <w:rsid w:val="0067527F"/>
    <w:rsid w:val="00675343"/>
    <w:rsid w:val="0068257B"/>
    <w:rsid w:val="00682B95"/>
    <w:rsid w:val="00682E25"/>
    <w:rsid w:val="0068499C"/>
    <w:rsid w:val="00687085"/>
    <w:rsid w:val="00690402"/>
    <w:rsid w:val="00692E72"/>
    <w:rsid w:val="006948B1"/>
    <w:rsid w:val="006948F6"/>
    <w:rsid w:val="00695E35"/>
    <w:rsid w:val="006A0FBB"/>
    <w:rsid w:val="006A1C3F"/>
    <w:rsid w:val="006B0572"/>
    <w:rsid w:val="006B0854"/>
    <w:rsid w:val="006B1AC1"/>
    <w:rsid w:val="006B1ED0"/>
    <w:rsid w:val="006C0779"/>
    <w:rsid w:val="006C183A"/>
    <w:rsid w:val="006C3D85"/>
    <w:rsid w:val="006C4D1A"/>
    <w:rsid w:val="006D0ADD"/>
    <w:rsid w:val="006D14EA"/>
    <w:rsid w:val="006D1694"/>
    <w:rsid w:val="006D2934"/>
    <w:rsid w:val="006D35F4"/>
    <w:rsid w:val="006D401A"/>
    <w:rsid w:val="006D791B"/>
    <w:rsid w:val="006E2110"/>
    <w:rsid w:val="006E36AA"/>
    <w:rsid w:val="006E39C8"/>
    <w:rsid w:val="006F1B32"/>
    <w:rsid w:val="006F4552"/>
    <w:rsid w:val="006F5413"/>
    <w:rsid w:val="00700615"/>
    <w:rsid w:val="00706348"/>
    <w:rsid w:val="007110B7"/>
    <w:rsid w:val="0071684F"/>
    <w:rsid w:val="007169E0"/>
    <w:rsid w:val="00716B87"/>
    <w:rsid w:val="007202FB"/>
    <w:rsid w:val="00720FBD"/>
    <w:rsid w:val="007216FE"/>
    <w:rsid w:val="00724141"/>
    <w:rsid w:val="00724336"/>
    <w:rsid w:val="00725C08"/>
    <w:rsid w:val="00726741"/>
    <w:rsid w:val="0073284E"/>
    <w:rsid w:val="007329E3"/>
    <w:rsid w:val="00741232"/>
    <w:rsid w:val="00741C97"/>
    <w:rsid w:val="00743B53"/>
    <w:rsid w:val="007446FD"/>
    <w:rsid w:val="00744959"/>
    <w:rsid w:val="00745A91"/>
    <w:rsid w:val="00750F05"/>
    <w:rsid w:val="00751E4F"/>
    <w:rsid w:val="00752B93"/>
    <w:rsid w:val="007548CF"/>
    <w:rsid w:val="00756750"/>
    <w:rsid w:val="00756A90"/>
    <w:rsid w:val="0076162A"/>
    <w:rsid w:val="007621FC"/>
    <w:rsid w:val="007652ED"/>
    <w:rsid w:val="0077065A"/>
    <w:rsid w:val="007718DF"/>
    <w:rsid w:val="00771C54"/>
    <w:rsid w:val="007750D1"/>
    <w:rsid w:val="00776E0C"/>
    <w:rsid w:val="0078557D"/>
    <w:rsid w:val="007904A4"/>
    <w:rsid w:val="0079080E"/>
    <w:rsid w:val="00794B16"/>
    <w:rsid w:val="00795ABC"/>
    <w:rsid w:val="00795E38"/>
    <w:rsid w:val="00795E44"/>
    <w:rsid w:val="007965B1"/>
    <w:rsid w:val="007B141D"/>
    <w:rsid w:val="007B1EBA"/>
    <w:rsid w:val="007B27D8"/>
    <w:rsid w:val="007B586D"/>
    <w:rsid w:val="007C0A1F"/>
    <w:rsid w:val="007C2709"/>
    <w:rsid w:val="007C3830"/>
    <w:rsid w:val="007C4131"/>
    <w:rsid w:val="007C4340"/>
    <w:rsid w:val="007C56CE"/>
    <w:rsid w:val="007C6E08"/>
    <w:rsid w:val="007D1EBB"/>
    <w:rsid w:val="007D33DD"/>
    <w:rsid w:val="007D4C40"/>
    <w:rsid w:val="007D604D"/>
    <w:rsid w:val="007E1275"/>
    <w:rsid w:val="007E3E7C"/>
    <w:rsid w:val="007E6704"/>
    <w:rsid w:val="007E70AD"/>
    <w:rsid w:val="007F0B91"/>
    <w:rsid w:val="007F1E4F"/>
    <w:rsid w:val="007F7EBB"/>
    <w:rsid w:val="00801B20"/>
    <w:rsid w:val="00803F6D"/>
    <w:rsid w:val="00816464"/>
    <w:rsid w:val="00817D0B"/>
    <w:rsid w:val="00821AA1"/>
    <w:rsid w:val="00822F4E"/>
    <w:rsid w:val="008349FC"/>
    <w:rsid w:val="00835B63"/>
    <w:rsid w:val="00836EB6"/>
    <w:rsid w:val="008411E5"/>
    <w:rsid w:val="008439F1"/>
    <w:rsid w:val="00844C9F"/>
    <w:rsid w:val="008459CC"/>
    <w:rsid w:val="008501C4"/>
    <w:rsid w:val="0085170D"/>
    <w:rsid w:val="0085213F"/>
    <w:rsid w:val="00853621"/>
    <w:rsid w:val="008605E3"/>
    <w:rsid w:val="0086366D"/>
    <w:rsid w:val="008731C6"/>
    <w:rsid w:val="008769B7"/>
    <w:rsid w:val="008869DA"/>
    <w:rsid w:val="008875AE"/>
    <w:rsid w:val="00892D9C"/>
    <w:rsid w:val="008A0C0D"/>
    <w:rsid w:val="008A60DD"/>
    <w:rsid w:val="008A6D5A"/>
    <w:rsid w:val="008B14F0"/>
    <w:rsid w:val="008B4997"/>
    <w:rsid w:val="008B4FCC"/>
    <w:rsid w:val="008B6B6F"/>
    <w:rsid w:val="008B6D9E"/>
    <w:rsid w:val="008B6F89"/>
    <w:rsid w:val="008B7DBA"/>
    <w:rsid w:val="008C561B"/>
    <w:rsid w:val="008C7441"/>
    <w:rsid w:val="008D0847"/>
    <w:rsid w:val="008D17BB"/>
    <w:rsid w:val="008D7CD7"/>
    <w:rsid w:val="008E103E"/>
    <w:rsid w:val="008E49E2"/>
    <w:rsid w:val="008F016E"/>
    <w:rsid w:val="008F0ACB"/>
    <w:rsid w:val="008F7066"/>
    <w:rsid w:val="008F7BB9"/>
    <w:rsid w:val="00900188"/>
    <w:rsid w:val="00905042"/>
    <w:rsid w:val="009055F2"/>
    <w:rsid w:val="00906909"/>
    <w:rsid w:val="00907D28"/>
    <w:rsid w:val="00910471"/>
    <w:rsid w:val="00911B1D"/>
    <w:rsid w:val="00912BA6"/>
    <w:rsid w:val="00914D85"/>
    <w:rsid w:val="00915E02"/>
    <w:rsid w:val="00915F3F"/>
    <w:rsid w:val="00915F77"/>
    <w:rsid w:val="00916D79"/>
    <w:rsid w:val="00917887"/>
    <w:rsid w:val="009207C9"/>
    <w:rsid w:val="00921F57"/>
    <w:rsid w:val="00922A98"/>
    <w:rsid w:val="0092393C"/>
    <w:rsid w:val="009245E1"/>
    <w:rsid w:val="009265E3"/>
    <w:rsid w:val="00936711"/>
    <w:rsid w:val="00941FDD"/>
    <w:rsid w:val="0094549D"/>
    <w:rsid w:val="00945C93"/>
    <w:rsid w:val="00946232"/>
    <w:rsid w:val="00946683"/>
    <w:rsid w:val="00946925"/>
    <w:rsid w:val="00947E1E"/>
    <w:rsid w:val="00952FC4"/>
    <w:rsid w:val="009548AD"/>
    <w:rsid w:val="00960D60"/>
    <w:rsid w:val="00962DEA"/>
    <w:rsid w:val="0096369F"/>
    <w:rsid w:val="0096410E"/>
    <w:rsid w:val="00966DE0"/>
    <w:rsid w:val="0097229C"/>
    <w:rsid w:val="00972E29"/>
    <w:rsid w:val="009754F1"/>
    <w:rsid w:val="00976309"/>
    <w:rsid w:val="00977D6A"/>
    <w:rsid w:val="00980C6F"/>
    <w:rsid w:val="0098138D"/>
    <w:rsid w:val="00981B95"/>
    <w:rsid w:val="009839C9"/>
    <w:rsid w:val="00991A7E"/>
    <w:rsid w:val="00993675"/>
    <w:rsid w:val="00993D57"/>
    <w:rsid w:val="00994669"/>
    <w:rsid w:val="009960A6"/>
    <w:rsid w:val="009A4EE8"/>
    <w:rsid w:val="009B32BC"/>
    <w:rsid w:val="009B6632"/>
    <w:rsid w:val="009B7277"/>
    <w:rsid w:val="009B7AEC"/>
    <w:rsid w:val="009C1916"/>
    <w:rsid w:val="009C7312"/>
    <w:rsid w:val="009D71A0"/>
    <w:rsid w:val="009D7812"/>
    <w:rsid w:val="009E01AD"/>
    <w:rsid w:val="009E10C7"/>
    <w:rsid w:val="009E4806"/>
    <w:rsid w:val="009E498E"/>
    <w:rsid w:val="009E5518"/>
    <w:rsid w:val="009F33E3"/>
    <w:rsid w:val="009F4ED9"/>
    <w:rsid w:val="009F5DFE"/>
    <w:rsid w:val="009F71CC"/>
    <w:rsid w:val="009F7CC0"/>
    <w:rsid w:val="00A015FF"/>
    <w:rsid w:val="00A02239"/>
    <w:rsid w:val="00A0223B"/>
    <w:rsid w:val="00A02E15"/>
    <w:rsid w:val="00A05CE2"/>
    <w:rsid w:val="00A06C92"/>
    <w:rsid w:val="00A100E0"/>
    <w:rsid w:val="00A10D01"/>
    <w:rsid w:val="00A10E3B"/>
    <w:rsid w:val="00A10FB0"/>
    <w:rsid w:val="00A135B6"/>
    <w:rsid w:val="00A13B4D"/>
    <w:rsid w:val="00A14DC8"/>
    <w:rsid w:val="00A165F5"/>
    <w:rsid w:val="00A17554"/>
    <w:rsid w:val="00A2327D"/>
    <w:rsid w:val="00A23590"/>
    <w:rsid w:val="00A31890"/>
    <w:rsid w:val="00A32E04"/>
    <w:rsid w:val="00A3381D"/>
    <w:rsid w:val="00A33A86"/>
    <w:rsid w:val="00A3637D"/>
    <w:rsid w:val="00A36A5E"/>
    <w:rsid w:val="00A36DBC"/>
    <w:rsid w:val="00A413AE"/>
    <w:rsid w:val="00A436E4"/>
    <w:rsid w:val="00A5635D"/>
    <w:rsid w:val="00A63568"/>
    <w:rsid w:val="00A63E67"/>
    <w:rsid w:val="00A652B4"/>
    <w:rsid w:val="00A659C6"/>
    <w:rsid w:val="00A66F76"/>
    <w:rsid w:val="00A7291A"/>
    <w:rsid w:val="00A75A43"/>
    <w:rsid w:val="00A870FA"/>
    <w:rsid w:val="00A90F65"/>
    <w:rsid w:val="00A924DD"/>
    <w:rsid w:val="00A93A4C"/>
    <w:rsid w:val="00A94B4A"/>
    <w:rsid w:val="00A96685"/>
    <w:rsid w:val="00AA1640"/>
    <w:rsid w:val="00AA3834"/>
    <w:rsid w:val="00AA4179"/>
    <w:rsid w:val="00AB0199"/>
    <w:rsid w:val="00AB148F"/>
    <w:rsid w:val="00AB175C"/>
    <w:rsid w:val="00AB5B82"/>
    <w:rsid w:val="00AB7F8E"/>
    <w:rsid w:val="00AC1F8F"/>
    <w:rsid w:val="00AD0DE5"/>
    <w:rsid w:val="00AD73EB"/>
    <w:rsid w:val="00AE151E"/>
    <w:rsid w:val="00AE1B85"/>
    <w:rsid w:val="00AE332F"/>
    <w:rsid w:val="00AE35A3"/>
    <w:rsid w:val="00AE4E1A"/>
    <w:rsid w:val="00AE76AD"/>
    <w:rsid w:val="00AF26DF"/>
    <w:rsid w:val="00AF5800"/>
    <w:rsid w:val="00AF7E9D"/>
    <w:rsid w:val="00B027AD"/>
    <w:rsid w:val="00B03266"/>
    <w:rsid w:val="00B15D93"/>
    <w:rsid w:val="00B16079"/>
    <w:rsid w:val="00B21D69"/>
    <w:rsid w:val="00B2265C"/>
    <w:rsid w:val="00B24750"/>
    <w:rsid w:val="00B24D59"/>
    <w:rsid w:val="00B2576E"/>
    <w:rsid w:val="00B32462"/>
    <w:rsid w:val="00B325F5"/>
    <w:rsid w:val="00B35073"/>
    <w:rsid w:val="00B377F5"/>
    <w:rsid w:val="00B37C23"/>
    <w:rsid w:val="00B40842"/>
    <w:rsid w:val="00B42FD8"/>
    <w:rsid w:val="00B43328"/>
    <w:rsid w:val="00B437F3"/>
    <w:rsid w:val="00B4670B"/>
    <w:rsid w:val="00B47177"/>
    <w:rsid w:val="00B51000"/>
    <w:rsid w:val="00B532BA"/>
    <w:rsid w:val="00B577ED"/>
    <w:rsid w:val="00B579E5"/>
    <w:rsid w:val="00B57B32"/>
    <w:rsid w:val="00B64227"/>
    <w:rsid w:val="00B65131"/>
    <w:rsid w:val="00B65619"/>
    <w:rsid w:val="00B719BB"/>
    <w:rsid w:val="00B82F09"/>
    <w:rsid w:val="00B83731"/>
    <w:rsid w:val="00B84234"/>
    <w:rsid w:val="00B84CB0"/>
    <w:rsid w:val="00B87D23"/>
    <w:rsid w:val="00B97CF7"/>
    <w:rsid w:val="00BA0A2C"/>
    <w:rsid w:val="00BA4460"/>
    <w:rsid w:val="00BA4ECD"/>
    <w:rsid w:val="00BA75BC"/>
    <w:rsid w:val="00BB026E"/>
    <w:rsid w:val="00BB5815"/>
    <w:rsid w:val="00BB6D97"/>
    <w:rsid w:val="00BC0AFE"/>
    <w:rsid w:val="00BC2886"/>
    <w:rsid w:val="00BC507E"/>
    <w:rsid w:val="00BC7113"/>
    <w:rsid w:val="00BD5D50"/>
    <w:rsid w:val="00BD72D3"/>
    <w:rsid w:val="00BE3B4C"/>
    <w:rsid w:val="00BE3F1A"/>
    <w:rsid w:val="00BE5366"/>
    <w:rsid w:val="00BE6767"/>
    <w:rsid w:val="00BE6BE9"/>
    <w:rsid w:val="00BE7748"/>
    <w:rsid w:val="00BF2582"/>
    <w:rsid w:val="00BF60C0"/>
    <w:rsid w:val="00BF650D"/>
    <w:rsid w:val="00BF6693"/>
    <w:rsid w:val="00C01C1B"/>
    <w:rsid w:val="00C03D4C"/>
    <w:rsid w:val="00C063FD"/>
    <w:rsid w:val="00C2190A"/>
    <w:rsid w:val="00C3183A"/>
    <w:rsid w:val="00C31A1C"/>
    <w:rsid w:val="00C33038"/>
    <w:rsid w:val="00C3692E"/>
    <w:rsid w:val="00C51739"/>
    <w:rsid w:val="00C51C08"/>
    <w:rsid w:val="00C5471B"/>
    <w:rsid w:val="00C56B8A"/>
    <w:rsid w:val="00C622B7"/>
    <w:rsid w:val="00C62AED"/>
    <w:rsid w:val="00C66B4B"/>
    <w:rsid w:val="00C66ED3"/>
    <w:rsid w:val="00C707DA"/>
    <w:rsid w:val="00C70D23"/>
    <w:rsid w:val="00C70D57"/>
    <w:rsid w:val="00C714EC"/>
    <w:rsid w:val="00C74456"/>
    <w:rsid w:val="00C747D5"/>
    <w:rsid w:val="00C753A7"/>
    <w:rsid w:val="00C76848"/>
    <w:rsid w:val="00C777A2"/>
    <w:rsid w:val="00C8556A"/>
    <w:rsid w:val="00C906F2"/>
    <w:rsid w:val="00C96804"/>
    <w:rsid w:val="00CA0CC5"/>
    <w:rsid w:val="00CA4E7C"/>
    <w:rsid w:val="00CA5CB7"/>
    <w:rsid w:val="00CB18F3"/>
    <w:rsid w:val="00CB1B39"/>
    <w:rsid w:val="00CB74E1"/>
    <w:rsid w:val="00CC07C3"/>
    <w:rsid w:val="00CC3829"/>
    <w:rsid w:val="00CC51FE"/>
    <w:rsid w:val="00CC6696"/>
    <w:rsid w:val="00CD0720"/>
    <w:rsid w:val="00CD27FE"/>
    <w:rsid w:val="00CD3418"/>
    <w:rsid w:val="00CD3D47"/>
    <w:rsid w:val="00CD47F5"/>
    <w:rsid w:val="00CE2E6A"/>
    <w:rsid w:val="00CE4824"/>
    <w:rsid w:val="00CE483B"/>
    <w:rsid w:val="00CE509D"/>
    <w:rsid w:val="00CE5E54"/>
    <w:rsid w:val="00CE6CDD"/>
    <w:rsid w:val="00CF2040"/>
    <w:rsid w:val="00CF3469"/>
    <w:rsid w:val="00CF4479"/>
    <w:rsid w:val="00CF5444"/>
    <w:rsid w:val="00D00555"/>
    <w:rsid w:val="00D02BA7"/>
    <w:rsid w:val="00D05071"/>
    <w:rsid w:val="00D05AFC"/>
    <w:rsid w:val="00D10FB4"/>
    <w:rsid w:val="00D11169"/>
    <w:rsid w:val="00D119EB"/>
    <w:rsid w:val="00D15DF1"/>
    <w:rsid w:val="00D1647B"/>
    <w:rsid w:val="00D213AC"/>
    <w:rsid w:val="00D23DB3"/>
    <w:rsid w:val="00D23F49"/>
    <w:rsid w:val="00D3100B"/>
    <w:rsid w:val="00D355DD"/>
    <w:rsid w:val="00D35C73"/>
    <w:rsid w:val="00D36665"/>
    <w:rsid w:val="00D43DE0"/>
    <w:rsid w:val="00D458AC"/>
    <w:rsid w:val="00D47E0B"/>
    <w:rsid w:val="00D5028A"/>
    <w:rsid w:val="00D50805"/>
    <w:rsid w:val="00D56C50"/>
    <w:rsid w:val="00D57932"/>
    <w:rsid w:val="00D63530"/>
    <w:rsid w:val="00D7246A"/>
    <w:rsid w:val="00D7258A"/>
    <w:rsid w:val="00D72844"/>
    <w:rsid w:val="00D75311"/>
    <w:rsid w:val="00D81007"/>
    <w:rsid w:val="00D814ED"/>
    <w:rsid w:val="00D81887"/>
    <w:rsid w:val="00D82CFD"/>
    <w:rsid w:val="00D831CF"/>
    <w:rsid w:val="00D831F8"/>
    <w:rsid w:val="00D86100"/>
    <w:rsid w:val="00D86393"/>
    <w:rsid w:val="00D86956"/>
    <w:rsid w:val="00D86A0D"/>
    <w:rsid w:val="00D91153"/>
    <w:rsid w:val="00D91195"/>
    <w:rsid w:val="00D91CF8"/>
    <w:rsid w:val="00D9247E"/>
    <w:rsid w:val="00D93B92"/>
    <w:rsid w:val="00D96447"/>
    <w:rsid w:val="00D964B2"/>
    <w:rsid w:val="00D96E2A"/>
    <w:rsid w:val="00D97AF6"/>
    <w:rsid w:val="00DA3F40"/>
    <w:rsid w:val="00DB0613"/>
    <w:rsid w:val="00DB7685"/>
    <w:rsid w:val="00DC0359"/>
    <w:rsid w:val="00DC3D4B"/>
    <w:rsid w:val="00DD0A64"/>
    <w:rsid w:val="00DD1147"/>
    <w:rsid w:val="00DD1A6E"/>
    <w:rsid w:val="00DD3CA6"/>
    <w:rsid w:val="00DD41D6"/>
    <w:rsid w:val="00DD4FBB"/>
    <w:rsid w:val="00DE052B"/>
    <w:rsid w:val="00DE3259"/>
    <w:rsid w:val="00DE36B4"/>
    <w:rsid w:val="00DE3D53"/>
    <w:rsid w:val="00DE447E"/>
    <w:rsid w:val="00DE6330"/>
    <w:rsid w:val="00DE71AE"/>
    <w:rsid w:val="00DF4A9A"/>
    <w:rsid w:val="00DF51F0"/>
    <w:rsid w:val="00DF7947"/>
    <w:rsid w:val="00E02694"/>
    <w:rsid w:val="00E03297"/>
    <w:rsid w:val="00E036C6"/>
    <w:rsid w:val="00E129BF"/>
    <w:rsid w:val="00E13736"/>
    <w:rsid w:val="00E13CFA"/>
    <w:rsid w:val="00E15FDE"/>
    <w:rsid w:val="00E161FC"/>
    <w:rsid w:val="00E163C2"/>
    <w:rsid w:val="00E206BA"/>
    <w:rsid w:val="00E207E0"/>
    <w:rsid w:val="00E2281D"/>
    <w:rsid w:val="00E238CC"/>
    <w:rsid w:val="00E240DA"/>
    <w:rsid w:val="00E253FC"/>
    <w:rsid w:val="00E25F6E"/>
    <w:rsid w:val="00E27684"/>
    <w:rsid w:val="00E278AD"/>
    <w:rsid w:val="00E3031D"/>
    <w:rsid w:val="00E316B3"/>
    <w:rsid w:val="00E35273"/>
    <w:rsid w:val="00E41027"/>
    <w:rsid w:val="00E41103"/>
    <w:rsid w:val="00E41576"/>
    <w:rsid w:val="00E43254"/>
    <w:rsid w:val="00E44673"/>
    <w:rsid w:val="00E46605"/>
    <w:rsid w:val="00E50D2B"/>
    <w:rsid w:val="00E512E0"/>
    <w:rsid w:val="00E53704"/>
    <w:rsid w:val="00E53BDC"/>
    <w:rsid w:val="00E55473"/>
    <w:rsid w:val="00E60973"/>
    <w:rsid w:val="00E6291F"/>
    <w:rsid w:val="00E66570"/>
    <w:rsid w:val="00E6665A"/>
    <w:rsid w:val="00E67829"/>
    <w:rsid w:val="00E76A2A"/>
    <w:rsid w:val="00E80F5F"/>
    <w:rsid w:val="00E818E7"/>
    <w:rsid w:val="00E82721"/>
    <w:rsid w:val="00E946A6"/>
    <w:rsid w:val="00E972CE"/>
    <w:rsid w:val="00EA051D"/>
    <w:rsid w:val="00EA0D24"/>
    <w:rsid w:val="00EA1BCA"/>
    <w:rsid w:val="00EA1E18"/>
    <w:rsid w:val="00EA2081"/>
    <w:rsid w:val="00EA6D2A"/>
    <w:rsid w:val="00EC1EB1"/>
    <w:rsid w:val="00ED1D0A"/>
    <w:rsid w:val="00ED5A68"/>
    <w:rsid w:val="00ED70DA"/>
    <w:rsid w:val="00EE08FD"/>
    <w:rsid w:val="00EE3967"/>
    <w:rsid w:val="00EE6BAE"/>
    <w:rsid w:val="00EF2DED"/>
    <w:rsid w:val="00EF4E6B"/>
    <w:rsid w:val="00EF6516"/>
    <w:rsid w:val="00F02760"/>
    <w:rsid w:val="00F062FE"/>
    <w:rsid w:val="00F1048F"/>
    <w:rsid w:val="00F21907"/>
    <w:rsid w:val="00F22B1C"/>
    <w:rsid w:val="00F230BB"/>
    <w:rsid w:val="00F237D2"/>
    <w:rsid w:val="00F24F0D"/>
    <w:rsid w:val="00F25627"/>
    <w:rsid w:val="00F26CB6"/>
    <w:rsid w:val="00F2763F"/>
    <w:rsid w:val="00F3320E"/>
    <w:rsid w:val="00F34782"/>
    <w:rsid w:val="00F37262"/>
    <w:rsid w:val="00F43DB3"/>
    <w:rsid w:val="00F50E31"/>
    <w:rsid w:val="00F514F5"/>
    <w:rsid w:val="00F51D16"/>
    <w:rsid w:val="00F52F48"/>
    <w:rsid w:val="00F5720F"/>
    <w:rsid w:val="00F606EF"/>
    <w:rsid w:val="00F63CBD"/>
    <w:rsid w:val="00F63FA5"/>
    <w:rsid w:val="00F64201"/>
    <w:rsid w:val="00F707F6"/>
    <w:rsid w:val="00F714B7"/>
    <w:rsid w:val="00F726EC"/>
    <w:rsid w:val="00F73333"/>
    <w:rsid w:val="00F7519F"/>
    <w:rsid w:val="00F7742C"/>
    <w:rsid w:val="00F8503E"/>
    <w:rsid w:val="00F870FB"/>
    <w:rsid w:val="00F90306"/>
    <w:rsid w:val="00F91C76"/>
    <w:rsid w:val="00F926C1"/>
    <w:rsid w:val="00F95DA3"/>
    <w:rsid w:val="00FA511C"/>
    <w:rsid w:val="00FA5289"/>
    <w:rsid w:val="00FA65B1"/>
    <w:rsid w:val="00FB57AD"/>
    <w:rsid w:val="00FB6339"/>
    <w:rsid w:val="00FB66F4"/>
    <w:rsid w:val="00FB7EB9"/>
    <w:rsid w:val="00FC3EA7"/>
    <w:rsid w:val="00FC5FA7"/>
    <w:rsid w:val="00FC6E5E"/>
    <w:rsid w:val="00FC71E5"/>
    <w:rsid w:val="00FC72E7"/>
    <w:rsid w:val="00FD07CD"/>
    <w:rsid w:val="00FD0E6C"/>
    <w:rsid w:val="00FD1575"/>
    <w:rsid w:val="00FD426A"/>
    <w:rsid w:val="00FD6BE8"/>
    <w:rsid w:val="00FE10AE"/>
    <w:rsid w:val="00FE3ED4"/>
    <w:rsid w:val="00FE4667"/>
    <w:rsid w:val="00FF0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8AD"/>
    <w:rPr>
      <w:sz w:val="24"/>
    </w:rPr>
  </w:style>
  <w:style w:type="paragraph" w:styleId="Heading1">
    <w:name w:val="heading 1"/>
    <w:aliases w:val="Part"/>
    <w:basedOn w:val="Normal"/>
    <w:next w:val="Heading2"/>
    <w:qFormat/>
    <w:rsid w:val="009548AD"/>
    <w:pPr>
      <w:spacing w:after="240"/>
      <w:jc w:val="center"/>
      <w:outlineLvl w:val="0"/>
    </w:pPr>
    <w:rPr>
      <w:rFonts w:ascii="Arial" w:hAnsi="Arial"/>
      <w:b/>
      <w:sz w:val="32"/>
    </w:rPr>
  </w:style>
  <w:style w:type="paragraph" w:styleId="Heading2">
    <w:name w:val="heading 2"/>
    <w:aliases w:val="Chapter Title"/>
    <w:basedOn w:val="Normal"/>
    <w:next w:val="Heading4"/>
    <w:qFormat/>
    <w:rsid w:val="009548AD"/>
    <w:pPr>
      <w:spacing w:after="240"/>
      <w:jc w:val="center"/>
      <w:outlineLvl w:val="1"/>
    </w:pPr>
    <w:rPr>
      <w:rFonts w:ascii="Arial" w:hAnsi="Arial"/>
      <w:b/>
      <w:sz w:val="32"/>
    </w:rPr>
  </w:style>
  <w:style w:type="paragraph" w:styleId="Heading3">
    <w:name w:val="heading 3"/>
    <w:aliases w:val="Section"/>
    <w:basedOn w:val="Normal"/>
    <w:next w:val="Heading4"/>
    <w:qFormat/>
    <w:rsid w:val="009548AD"/>
    <w:pPr>
      <w:spacing w:after="240"/>
      <w:jc w:val="center"/>
      <w:outlineLvl w:val="2"/>
    </w:pPr>
    <w:rPr>
      <w:rFonts w:ascii="Arial" w:hAnsi="Arial"/>
      <w:b/>
      <w:sz w:val="32"/>
    </w:rPr>
  </w:style>
  <w:style w:type="paragraph" w:styleId="Heading4">
    <w:name w:val="heading 4"/>
    <w:aliases w:val="Map Title"/>
    <w:basedOn w:val="Normal"/>
    <w:next w:val="Normal"/>
    <w:qFormat/>
    <w:rsid w:val="009548AD"/>
    <w:pPr>
      <w:spacing w:after="240"/>
      <w:outlineLvl w:val="3"/>
    </w:pPr>
    <w:rPr>
      <w:rFonts w:ascii="Arial" w:hAnsi="Arial"/>
    </w:rPr>
  </w:style>
  <w:style w:type="paragraph" w:styleId="Heading5">
    <w:name w:val="heading 5"/>
    <w:aliases w:val="Block Label"/>
    <w:basedOn w:val="Normal"/>
    <w:next w:val="Normal"/>
    <w:qFormat/>
    <w:rsid w:val="009548AD"/>
    <w:pPr>
      <w:outlineLvl w:val="4"/>
    </w:pPr>
    <w:rPr>
      <w:b/>
      <w:sz w:val="22"/>
    </w:rPr>
  </w:style>
  <w:style w:type="paragraph" w:styleId="Heading6">
    <w:name w:val="heading 6"/>
    <w:basedOn w:val="Normal"/>
    <w:next w:val="Normal"/>
    <w:qFormat/>
    <w:rsid w:val="009548AD"/>
    <w:pPr>
      <w:spacing w:before="240" w:after="60"/>
      <w:outlineLvl w:val="5"/>
    </w:pPr>
    <w:rPr>
      <w:i/>
      <w:sz w:val="22"/>
    </w:rPr>
  </w:style>
  <w:style w:type="paragraph" w:styleId="Heading7">
    <w:name w:val="heading 7"/>
    <w:basedOn w:val="Normal"/>
    <w:next w:val="Normal"/>
    <w:qFormat/>
    <w:rsid w:val="009548AD"/>
    <w:pPr>
      <w:spacing w:before="240" w:after="60"/>
      <w:outlineLvl w:val="6"/>
    </w:pPr>
    <w:rPr>
      <w:rFonts w:ascii="Arial" w:hAnsi="Arial"/>
      <w:sz w:val="20"/>
    </w:rPr>
  </w:style>
  <w:style w:type="paragraph" w:styleId="Heading8">
    <w:name w:val="heading 8"/>
    <w:basedOn w:val="Normal"/>
    <w:next w:val="Normal"/>
    <w:qFormat/>
    <w:rsid w:val="009548AD"/>
    <w:pPr>
      <w:spacing w:before="240" w:after="60"/>
      <w:outlineLvl w:val="7"/>
    </w:pPr>
    <w:rPr>
      <w:rFonts w:ascii="Arial" w:hAnsi="Arial"/>
      <w:i/>
      <w:sz w:val="20"/>
    </w:rPr>
  </w:style>
  <w:style w:type="paragraph" w:styleId="Heading9">
    <w:name w:val="heading 9"/>
    <w:basedOn w:val="Normal"/>
    <w:next w:val="Normal"/>
    <w:qFormat/>
    <w:rsid w:val="009548A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48AD"/>
    <w:pPr>
      <w:tabs>
        <w:tab w:val="center" w:pos="4320"/>
        <w:tab w:val="right" w:pos="8640"/>
      </w:tabs>
    </w:pPr>
  </w:style>
  <w:style w:type="paragraph" w:styleId="MacroText">
    <w:name w:val="macro"/>
    <w:semiHidden/>
    <w:rsid w:val="009548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9548AD"/>
    <w:pPr>
      <w:pBdr>
        <w:top w:val="single" w:sz="6" w:space="1" w:color="auto"/>
        <w:between w:val="single" w:sz="6" w:space="1" w:color="auto"/>
      </w:pBdr>
      <w:spacing w:before="240"/>
      <w:ind w:left="1700"/>
    </w:pPr>
  </w:style>
  <w:style w:type="paragraph" w:styleId="BlockText">
    <w:name w:val="Block Text"/>
    <w:basedOn w:val="Normal"/>
    <w:rsid w:val="009548AD"/>
  </w:style>
  <w:style w:type="paragraph" w:customStyle="1" w:styleId="BulletText1">
    <w:name w:val="Bullet Text 1"/>
    <w:basedOn w:val="Normal"/>
    <w:rsid w:val="009548AD"/>
    <w:pPr>
      <w:ind w:left="187" w:hanging="187"/>
    </w:pPr>
  </w:style>
  <w:style w:type="paragraph" w:customStyle="1" w:styleId="BulletText2">
    <w:name w:val="Bullet Text 2"/>
    <w:basedOn w:val="BulletText1"/>
    <w:rsid w:val="009548AD"/>
    <w:pPr>
      <w:ind w:left="360"/>
    </w:pPr>
  </w:style>
  <w:style w:type="paragraph" w:customStyle="1" w:styleId="ContinuedOnNextPa">
    <w:name w:val="Continued On Next Pa"/>
    <w:basedOn w:val="Normal"/>
    <w:next w:val="Normal"/>
    <w:rsid w:val="009548AD"/>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9548AD"/>
    <w:rPr>
      <w:b/>
      <w:sz w:val="22"/>
    </w:rPr>
  </w:style>
  <w:style w:type="paragraph" w:customStyle="1" w:styleId="MapTitleContinued">
    <w:name w:val="Map Title. Continued"/>
    <w:basedOn w:val="Normal"/>
    <w:rsid w:val="009548AD"/>
    <w:pPr>
      <w:spacing w:after="240"/>
    </w:pPr>
    <w:rPr>
      <w:rFonts w:ascii="Helvetica" w:hAnsi="Helvetica"/>
      <w:b/>
      <w:sz w:val="32"/>
    </w:rPr>
  </w:style>
  <w:style w:type="paragraph" w:customStyle="1" w:styleId="MemoLine">
    <w:name w:val="Memo Line"/>
    <w:basedOn w:val="BlockLine"/>
    <w:next w:val="Normal"/>
    <w:rsid w:val="009548AD"/>
    <w:pPr>
      <w:ind w:left="0"/>
    </w:pPr>
  </w:style>
  <w:style w:type="paragraph" w:styleId="Footer">
    <w:name w:val="footer"/>
    <w:basedOn w:val="Normal"/>
    <w:rsid w:val="009548AD"/>
    <w:pPr>
      <w:tabs>
        <w:tab w:val="center" w:pos="4320"/>
        <w:tab w:val="right" w:pos="8640"/>
      </w:tabs>
    </w:pPr>
  </w:style>
  <w:style w:type="character" w:styleId="PageNumber">
    <w:name w:val="page number"/>
    <w:basedOn w:val="DefaultParagraphFont"/>
    <w:rsid w:val="009548AD"/>
  </w:style>
  <w:style w:type="paragraph" w:customStyle="1" w:styleId="TableText">
    <w:name w:val="Table Text"/>
    <w:basedOn w:val="Normal"/>
    <w:rsid w:val="009548AD"/>
  </w:style>
  <w:style w:type="paragraph" w:customStyle="1" w:styleId="NoteText">
    <w:name w:val="Note Text"/>
    <w:basedOn w:val="BlockText"/>
    <w:rsid w:val="009548AD"/>
  </w:style>
  <w:style w:type="paragraph" w:customStyle="1" w:styleId="TableHeaderText">
    <w:name w:val="Table Header Text"/>
    <w:basedOn w:val="TableText"/>
    <w:rsid w:val="009548AD"/>
    <w:pPr>
      <w:jc w:val="center"/>
    </w:pPr>
    <w:rPr>
      <w:b/>
    </w:rPr>
  </w:style>
  <w:style w:type="paragraph" w:customStyle="1" w:styleId="EmbeddedText">
    <w:name w:val="Embedded Text"/>
    <w:basedOn w:val="TableText"/>
    <w:rsid w:val="009548AD"/>
  </w:style>
  <w:style w:type="paragraph" w:styleId="TOC1">
    <w:name w:val="toc 1"/>
    <w:basedOn w:val="Normal"/>
    <w:next w:val="Normal"/>
    <w:semiHidden/>
    <w:rsid w:val="009548AD"/>
    <w:pPr>
      <w:tabs>
        <w:tab w:val="right" w:leader="dot" w:pos="10800"/>
      </w:tabs>
    </w:pPr>
  </w:style>
  <w:style w:type="paragraph" w:styleId="TOC2">
    <w:name w:val="toc 2"/>
    <w:basedOn w:val="Normal"/>
    <w:next w:val="Normal"/>
    <w:semiHidden/>
    <w:rsid w:val="009548AD"/>
    <w:pPr>
      <w:tabs>
        <w:tab w:val="right" w:leader="dot" w:pos="10800"/>
      </w:tabs>
      <w:ind w:left="240"/>
    </w:pPr>
  </w:style>
  <w:style w:type="paragraph" w:styleId="BodyText3">
    <w:name w:val="Body Text 3"/>
    <w:basedOn w:val="Normal"/>
    <w:rsid w:val="009548AD"/>
    <w:rPr>
      <w:b/>
      <w:sz w:val="18"/>
    </w:rPr>
  </w:style>
  <w:style w:type="paragraph" w:styleId="BodyText2">
    <w:name w:val="Body Text 2"/>
    <w:basedOn w:val="Normal"/>
    <w:rsid w:val="009548AD"/>
    <w:rPr>
      <w:b/>
      <w:sz w:val="16"/>
    </w:rPr>
  </w:style>
  <w:style w:type="paragraph" w:styleId="Title">
    <w:name w:val="Title"/>
    <w:basedOn w:val="Normal"/>
    <w:qFormat/>
    <w:rsid w:val="009548AD"/>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9548AD"/>
    <w:rPr>
      <w:color w:val="0000FF"/>
      <w:u w:val="single"/>
    </w:rPr>
  </w:style>
  <w:style w:type="paragraph" w:customStyle="1" w:styleId="Extmemo">
    <w:name w:val="Extmemo"/>
    <w:basedOn w:val="Normal"/>
    <w:rsid w:val="009548AD"/>
    <w:pPr>
      <w:spacing w:line="240" w:lineRule="exact"/>
    </w:pPr>
    <w:rPr>
      <w:rFonts w:ascii="Times" w:hAnsi="Times"/>
    </w:rPr>
  </w:style>
  <w:style w:type="paragraph" w:styleId="PlainText">
    <w:name w:val="Plain Text"/>
    <w:basedOn w:val="Normal"/>
    <w:rsid w:val="009548AD"/>
    <w:rPr>
      <w:rFonts w:ascii="Courier New" w:hAnsi="Courier New"/>
      <w:sz w:val="20"/>
    </w:rPr>
  </w:style>
  <w:style w:type="character" w:styleId="FollowedHyperlink">
    <w:name w:val="FollowedHyperlink"/>
    <w:basedOn w:val="DefaultParagraphFont"/>
    <w:rsid w:val="009548AD"/>
    <w:rPr>
      <w:color w:val="800080"/>
      <w:u w:val="single"/>
    </w:rPr>
  </w:style>
  <w:style w:type="paragraph" w:styleId="DocumentMap">
    <w:name w:val="Document Map"/>
    <w:basedOn w:val="Normal"/>
    <w:semiHidden/>
    <w:rsid w:val="009548AD"/>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s>
</file>

<file path=word/webSettings.xml><?xml version="1.0" encoding="utf-8"?>
<w:webSettings xmlns:r="http://schemas.openxmlformats.org/officeDocument/2006/relationships" xmlns:w="http://schemas.openxmlformats.org/wordprocessingml/2006/main">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05028776">
      <w:bodyDiv w:val="1"/>
      <w:marLeft w:val="0"/>
      <w:marRight w:val="0"/>
      <w:marTop w:val="0"/>
      <w:marBottom w:val="0"/>
      <w:divBdr>
        <w:top w:val="none" w:sz="0" w:space="0" w:color="auto"/>
        <w:left w:val="none" w:sz="0" w:space="0" w:color="auto"/>
        <w:bottom w:val="none" w:sz="0" w:space="0" w:color="auto"/>
        <w:right w:val="none" w:sz="0" w:space="0" w:color="auto"/>
      </w:divBdr>
    </w:div>
    <w:div w:id="473641129">
      <w:bodyDiv w:val="1"/>
      <w:marLeft w:val="0"/>
      <w:marRight w:val="0"/>
      <w:marTop w:val="0"/>
      <w:marBottom w:val="0"/>
      <w:divBdr>
        <w:top w:val="none" w:sz="0" w:space="0" w:color="auto"/>
        <w:left w:val="none" w:sz="0" w:space="0" w:color="auto"/>
        <w:bottom w:val="none" w:sz="0" w:space="0" w:color="auto"/>
        <w:right w:val="none" w:sz="0" w:space="0" w:color="auto"/>
      </w:divBdr>
    </w:div>
    <w:div w:id="535124592">
      <w:bodyDiv w:val="1"/>
      <w:marLeft w:val="0"/>
      <w:marRight w:val="0"/>
      <w:marTop w:val="0"/>
      <w:marBottom w:val="0"/>
      <w:divBdr>
        <w:top w:val="none" w:sz="0" w:space="0" w:color="auto"/>
        <w:left w:val="none" w:sz="0" w:space="0" w:color="auto"/>
        <w:bottom w:val="none" w:sz="0" w:space="0" w:color="auto"/>
        <w:right w:val="none" w:sz="0" w:space="0" w:color="auto"/>
      </w:divBdr>
    </w:div>
    <w:div w:id="1001811999">
      <w:bodyDiv w:val="1"/>
      <w:marLeft w:val="0"/>
      <w:marRight w:val="0"/>
      <w:marTop w:val="0"/>
      <w:marBottom w:val="0"/>
      <w:divBdr>
        <w:top w:val="none" w:sz="0" w:space="0" w:color="auto"/>
        <w:left w:val="none" w:sz="0" w:space="0" w:color="auto"/>
        <w:bottom w:val="none" w:sz="0" w:space="0" w:color="auto"/>
        <w:right w:val="none" w:sz="0" w:space="0" w:color="auto"/>
      </w:divBdr>
    </w:div>
    <w:div w:id="20190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ng-doa-netapp1\sroot$\CDPAYOP\AUTOFAX\payroll@doa.virgina.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cathy.mcgill@doa.virginia.gov" TargetMode="External"/><Relationship Id="rId14" Type="http://schemas.openxmlformats.org/officeDocument/2006/relationships/hyperlink" Target="file:///\\ng-doa-netapp1\sroot$\CDPAYOP\AUTOFAX\payroll@doa.virgin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57D22-759E-42A3-87D4-8F5B0401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0</TotalTime>
  <Pages>1</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Payroll Bulletin</vt:lpstr>
    </vt:vector>
  </TitlesOfParts>
  <Company>Virginia Department of Accounts</Company>
  <LinksUpToDate>false</LinksUpToDate>
  <CharactersWithSpaces>9027</CharactersWithSpaces>
  <SharedDoc>false</SharedDoc>
  <HLinks>
    <vt:vector size="120" baseType="variant">
      <vt:variant>
        <vt:i4>2621522</vt:i4>
      </vt:variant>
      <vt:variant>
        <vt:i4>57</vt:i4>
      </vt:variant>
      <vt:variant>
        <vt:i4>0</vt:i4>
      </vt:variant>
      <vt:variant>
        <vt:i4>5</vt:i4>
      </vt:variant>
      <vt:variant>
        <vt:lpwstr>mailto:payroll@doa.virginia.gov</vt:lpwstr>
      </vt:variant>
      <vt:variant>
        <vt:lpwstr/>
      </vt:variant>
      <vt:variant>
        <vt:i4>3932226</vt:i4>
      </vt:variant>
      <vt:variant>
        <vt:i4>54</vt:i4>
      </vt:variant>
      <vt:variant>
        <vt:i4>0</vt:i4>
      </vt:variant>
      <vt:variant>
        <vt:i4>5</vt:i4>
      </vt:variant>
      <vt:variant>
        <vt:lpwstr>mailto:lgeorge@doa.virginia.gov</vt:lpwstr>
      </vt:variant>
      <vt:variant>
        <vt:lpwstr/>
      </vt:variant>
      <vt:variant>
        <vt:i4>6291532</vt:i4>
      </vt:variant>
      <vt:variant>
        <vt:i4>51</vt:i4>
      </vt:variant>
      <vt:variant>
        <vt:i4>0</vt:i4>
      </vt:variant>
      <vt:variant>
        <vt:i4>5</vt:i4>
      </vt:variant>
      <vt:variant>
        <vt:lpwstr>mailto:lora.george@doa.virginia.gov</vt:lpwstr>
      </vt:variant>
      <vt:variant>
        <vt:lpwstr/>
      </vt:variant>
      <vt:variant>
        <vt:i4>3211278</vt:i4>
      </vt:variant>
      <vt:variant>
        <vt:i4>48</vt:i4>
      </vt:variant>
      <vt:variant>
        <vt:i4>0</vt:i4>
      </vt:variant>
      <vt:variant>
        <vt:i4>5</vt:i4>
      </vt:variant>
      <vt:variant>
        <vt:lpwstr>mailto:diana.jones@doa.virginia.gov</vt:lpwstr>
      </vt:variant>
      <vt:variant>
        <vt:lpwstr/>
      </vt:variant>
      <vt:variant>
        <vt:i4>5767283</vt:i4>
      </vt:variant>
      <vt:variant>
        <vt:i4>45</vt:i4>
      </vt:variant>
      <vt:variant>
        <vt:i4>0</vt:i4>
      </vt:variant>
      <vt:variant>
        <vt:i4>5</vt:i4>
      </vt:variant>
      <vt:variant>
        <vt:lpwstr>mailto:felecia.smith@doa.virginia.gov</vt:lpwstr>
      </vt:variant>
      <vt:variant>
        <vt:lpwstr/>
      </vt:variant>
      <vt:variant>
        <vt:i4>3866648</vt:i4>
      </vt:variant>
      <vt:variant>
        <vt:i4>42</vt:i4>
      </vt:variant>
      <vt:variant>
        <vt:i4>0</vt:i4>
      </vt:variant>
      <vt:variant>
        <vt:i4>5</vt:i4>
      </vt:variant>
      <vt:variant>
        <vt:lpwstr>mailto:catherine.royal@doa.virginia.gov</vt:lpwstr>
      </vt:variant>
      <vt:variant>
        <vt:lpwstr/>
      </vt:variant>
      <vt:variant>
        <vt:i4>3276801</vt:i4>
      </vt:variant>
      <vt:variant>
        <vt:i4>39</vt:i4>
      </vt:variant>
      <vt:variant>
        <vt:i4>0</vt:i4>
      </vt:variant>
      <vt:variant>
        <vt:i4>5</vt:i4>
      </vt:variant>
      <vt:variant>
        <vt:lpwstr>mailto:denise.halderman@doa.virginia.gov</vt:lpwstr>
      </vt:variant>
      <vt:variant>
        <vt:lpwstr/>
      </vt:variant>
      <vt:variant>
        <vt:i4>6226042</vt:i4>
      </vt:variant>
      <vt:variant>
        <vt:i4>36</vt:i4>
      </vt:variant>
      <vt:variant>
        <vt:i4>0</vt:i4>
      </vt:variant>
      <vt:variant>
        <vt:i4>5</vt:i4>
      </vt:variant>
      <vt:variant>
        <vt:lpwstr>mailto:cathy.gravatt@doa.virginia.gov</vt:lpwstr>
      </vt:variant>
      <vt:variant>
        <vt:lpwstr/>
      </vt:variant>
      <vt:variant>
        <vt:i4>4587616</vt:i4>
      </vt:variant>
      <vt:variant>
        <vt:i4>33</vt:i4>
      </vt:variant>
      <vt:variant>
        <vt:i4>0</vt:i4>
      </vt:variant>
      <vt:variant>
        <vt:i4>5</vt:i4>
      </vt:variant>
      <vt:variant>
        <vt:lpwstr>mailto:jeff.breen@doa.virginia.gov</vt:lpwstr>
      </vt:variant>
      <vt:variant>
        <vt:lpwstr/>
      </vt:variant>
      <vt:variant>
        <vt:i4>3211285</vt:i4>
      </vt:variant>
      <vt:variant>
        <vt:i4>30</vt:i4>
      </vt:variant>
      <vt:variant>
        <vt:i4>0</vt:i4>
      </vt:variant>
      <vt:variant>
        <vt:i4>5</vt:i4>
      </vt:variant>
      <vt:variant>
        <vt:lpwstr>mailto:Shannon.gulasky@doa.virginia.gov</vt:lpwstr>
      </vt:variant>
      <vt:variant>
        <vt:lpwstr/>
      </vt:variant>
      <vt:variant>
        <vt:i4>1835043</vt:i4>
      </vt:variant>
      <vt:variant>
        <vt:i4>27</vt:i4>
      </vt:variant>
      <vt:variant>
        <vt:i4>0</vt:i4>
      </vt:variant>
      <vt:variant>
        <vt:i4>5</vt:i4>
      </vt:variant>
      <vt:variant>
        <vt:lpwstr>mailto:Martha.laster@doa.virginia.gov</vt:lpwstr>
      </vt:variant>
      <vt:variant>
        <vt:lpwstr/>
      </vt:variant>
      <vt:variant>
        <vt:i4>6619207</vt:i4>
      </vt:variant>
      <vt:variant>
        <vt:i4>24</vt:i4>
      </vt:variant>
      <vt:variant>
        <vt:i4>0</vt:i4>
      </vt:variant>
      <vt:variant>
        <vt:i4>5</vt:i4>
      </vt:variant>
      <vt:variant>
        <vt:lpwstr>http://www.doa.virginia.gov/Payroll/TPA/TPA_Main.cfm</vt:lpwstr>
      </vt:variant>
      <vt:variant>
        <vt:lpwstr/>
      </vt:variant>
      <vt:variant>
        <vt:i4>5898282</vt:i4>
      </vt:variant>
      <vt:variant>
        <vt:i4>21</vt:i4>
      </vt:variant>
      <vt:variant>
        <vt:i4>0</vt:i4>
      </vt:variant>
      <vt:variant>
        <vt:i4>5</vt:i4>
      </vt:variant>
      <vt:variant>
        <vt:lpwstr>mailto:joseph.chang@minnesotamutual.com</vt:lpwstr>
      </vt:variant>
      <vt:variant>
        <vt:lpwstr/>
      </vt:variant>
      <vt:variant>
        <vt:i4>7340154</vt:i4>
      </vt:variant>
      <vt:variant>
        <vt:i4>18</vt:i4>
      </vt:variant>
      <vt:variant>
        <vt:i4>0</vt:i4>
      </vt:variant>
      <vt:variant>
        <vt:i4>5</vt:i4>
      </vt:variant>
      <vt:variant>
        <vt:lpwstr>http://www.socialsecurity.gov/employer/critical.htm</vt:lpwstr>
      </vt:variant>
      <vt:variant>
        <vt:lpwstr/>
      </vt:variant>
      <vt:variant>
        <vt:i4>1638427</vt:i4>
      </vt:variant>
      <vt:variant>
        <vt:i4>15</vt:i4>
      </vt:variant>
      <vt:variant>
        <vt:i4>0</vt:i4>
      </vt:variant>
      <vt:variant>
        <vt:i4>5</vt:i4>
      </vt:variant>
      <vt:variant>
        <vt:lpwstr>http://www.ssa.gov/bso/bsowelcome.htm</vt:lpwstr>
      </vt:variant>
      <vt:variant>
        <vt:lpwstr/>
      </vt:variant>
      <vt:variant>
        <vt:i4>720982</vt:i4>
      </vt:variant>
      <vt:variant>
        <vt:i4>12</vt:i4>
      </vt:variant>
      <vt:variant>
        <vt:i4>0</vt:i4>
      </vt:variant>
      <vt:variant>
        <vt:i4>5</vt:i4>
      </vt:variant>
      <vt:variant>
        <vt:lpwstr>http://www.dornc.com/downloads/nc4ez.pdf</vt:lpwstr>
      </vt:variant>
      <vt:variant>
        <vt:lpwstr/>
      </vt:variant>
      <vt:variant>
        <vt:i4>7405619</vt:i4>
      </vt:variant>
      <vt:variant>
        <vt:i4>9</vt:i4>
      </vt:variant>
      <vt:variant>
        <vt:i4>0</vt:i4>
      </vt:variant>
      <vt:variant>
        <vt:i4>5</vt:i4>
      </vt:variant>
      <vt:variant>
        <vt:lpwstr>http://www.dornc.com/downloads/nc4.pdf</vt:lpwstr>
      </vt:variant>
      <vt:variant>
        <vt:lpwstr/>
      </vt:variant>
      <vt:variant>
        <vt:i4>2097251</vt:i4>
      </vt:variant>
      <vt:variant>
        <vt:i4>6</vt:i4>
      </vt:variant>
      <vt:variant>
        <vt:i4>0</vt:i4>
      </vt:variant>
      <vt:variant>
        <vt:i4>5</vt:i4>
      </vt:variant>
      <vt:variant>
        <vt:lpwstr>http://www.irs.gov/</vt:lpwstr>
      </vt:variant>
      <vt:variant>
        <vt:lpwstr/>
      </vt:variant>
      <vt:variant>
        <vt:i4>2097251</vt:i4>
      </vt:variant>
      <vt:variant>
        <vt:i4>3</vt:i4>
      </vt:variant>
      <vt:variant>
        <vt:i4>0</vt:i4>
      </vt:variant>
      <vt:variant>
        <vt:i4>5</vt:i4>
      </vt:variant>
      <vt:variant>
        <vt:lpwstr>http://www.irs.gov/</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2014-10</dc:title>
  <dc:subject>Payroll Bulletin 2014-10</dc:subject>
  <dc:creator>Virginia Department of Accounts</dc:creator>
  <cp:keywords>Payroll Bulletin 2014-10</cp:keywords>
  <cp:lastModifiedBy>Cathy McGill</cp:lastModifiedBy>
  <cp:revision>2</cp:revision>
  <cp:lastPrinted>2014-06-03T10:58:00Z</cp:lastPrinted>
  <dcterms:created xsi:type="dcterms:W3CDTF">2014-06-06T19:44:00Z</dcterms:created>
  <dcterms:modified xsi:type="dcterms:W3CDTF">2014-06-06T19:44:00Z</dcterms:modified>
  <cp:category>Payroll Bulletin 2014-10</cp:category>
</cp:coreProperties>
</file>