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pPr>
              <w:pStyle w:val="Header"/>
              <w:rPr>
                <w:b/>
                <w:sz w:val="20"/>
              </w:rPr>
            </w:pPr>
            <w:r>
              <w:rPr>
                <w:b/>
                <w:sz w:val="20"/>
              </w:rPr>
              <w:t>Calendar Year 20</w:t>
            </w:r>
            <w:r w:rsidR="000C5EC5">
              <w:rPr>
                <w:b/>
                <w:sz w:val="20"/>
              </w:rPr>
              <w:t>14</w:t>
            </w:r>
          </w:p>
        </w:tc>
        <w:tc>
          <w:tcPr>
            <w:tcW w:w="3366" w:type="dxa"/>
            <w:tcBorders>
              <w:bottom w:val="double" w:sz="6" w:space="0" w:color="auto"/>
            </w:tcBorders>
          </w:tcPr>
          <w:p w:rsidR="00CF5444" w:rsidRDefault="004C30CC" w:rsidP="008F116C">
            <w:pPr>
              <w:pStyle w:val="Header"/>
              <w:jc w:val="center"/>
              <w:rPr>
                <w:b/>
                <w:sz w:val="20"/>
              </w:rPr>
            </w:pPr>
            <w:r>
              <w:rPr>
                <w:b/>
                <w:sz w:val="20"/>
              </w:rPr>
              <w:t xml:space="preserve">December </w:t>
            </w:r>
            <w:r w:rsidR="001C36AB">
              <w:rPr>
                <w:b/>
                <w:sz w:val="20"/>
              </w:rPr>
              <w:t>4</w:t>
            </w:r>
            <w:r w:rsidR="000C5EC5">
              <w:rPr>
                <w:b/>
                <w:sz w:val="20"/>
              </w:rPr>
              <w:t>, 2014</w:t>
            </w:r>
          </w:p>
        </w:tc>
        <w:tc>
          <w:tcPr>
            <w:tcW w:w="3366" w:type="dxa"/>
            <w:tcBorders>
              <w:bottom w:val="double" w:sz="6" w:space="0" w:color="auto"/>
            </w:tcBorders>
          </w:tcPr>
          <w:p w:rsidR="00CF5444" w:rsidRDefault="00CF5444">
            <w:pPr>
              <w:pStyle w:val="Header"/>
              <w:jc w:val="right"/>
              <w:rPr>
                <w:b/>
                <w:sz w:val="20"/>
              </w:rPr>
            </w:pPr>
            <w:r>
              <w:rPr>
                <w:b/>
                <w:sz w:val="20"/>
              </w:rPr>
              <w:t>Volume 20</w:t>
            </w:r>
            <w:r w:rsidR="000C5EC5">
              <w:rPr>
                <w:b/>
                <w:sz w:val="20"/>
              </w:rPr>
              <w:t>14-1</w:t>
            </w:r>
            <w:r w:rsidR="00670630">
              <w:rPr>
                <w:b/>
                <w:sz w:val="20"/>
              </w:rPr>
              <w:t>6</w:t>
            </w:r>
          </w:p>
        </w:tc>
      </w:tr>
    </w:tbl>
    <w:p w:rsidR="00CF5444" w:rsidRDefault="00CF5444">
      <w:pPr>
        <w:tabs>
          <w:tab w:val="left" w:pos="99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45"/>
        <w:gridCol w:w="4112"/>
        <w:gridCol w:w="3795"/>
      </w:tblGrid>
      <w:tr w:rsidR="0056085F">
        <w:tc>
          <w:tcPr>
            <w:tcW w:w="2245" w:type="dxa"/>
          </w:tcPr>
          <w:p w:rsidR="0056085F" w:rsidRPr="002E463E" w:rsidRDefault="0056085F" w:rsidP="00D96E2A">
            <w:pPr>
              <w:tabs>
                <w:tab w:val="left" w:pos="990"/>
              </w:tabs>
              <w:spacing w:before="120"/>
              <w:rPr>
                <w:i/>
                <w:sz w:val="32"/>
                <w:szCs w:val="32"/>
              </w:rPr>
            </w:pPr>
            <w:r w:rsidRPr="002E463E">
              <w:rPr>
                <w:i/>
                <w:sz w:val="32"/>
                <w:szCs w:val="32"/>
              </w:rPr>
              <w:t>In This Issue of the Payroll Bulletin…....</w:t>
            </w:r>
          </w:p>
          <w:p w:rsidR="0056085F" w:rsidRPr="007C4C4D" w:rsidRDefault="0056085F" w:rsidP="00D96E2A">
            <w:pPr>
              <w:spacing w:before="120"/>
              <w:rPr>
                <w:b/>
              </w:rPr>
            </w:pPr>
          </w:p>
        </w:tc>
        <w:tc>
          <w:tcPr>
            <w:tcW w:w="4112" w:type="dxa"/>
          </w:tcPr>
          <w:p w:rsidR="008605E3" w:rsidRDefault="008D5791" w:rsidP="00C724CB">
            <w:pPr>
              <w:numPr>
                <w:ilvl w:val="0"/>
                <w:numId w:val="2"/>
              </w:numPr>
              <w:tabs>
                <w:tab w:val="left" w:pos="990"/>
              </w:tabs>
              <w:spacing w:before="60"/>
              <w:ind w:left="547"/>
              <w:rPr>
                <w:b/>
                <w:szCs w:val="24"/>
              </w:rPr>
            </w:pPr>
            <w:r>
              <w:rPr>
                <w:b/>
                <w:szCs w:val="24"/>
              </w:rPr>
              <w:t>PMIS to CIPPS New Hire Interface Update</w:t>
            </w:r>
          </w:p>
          <w:p w:rsidR="00326F85" w:rsidRPr="00AB2032" w:rsidRDefault="00326F85" w:rsidP="00C724CB">
            <w:pPr>
              <w:numPr>
                <w:ilvl w:val="0"/>
                <w:numId w:val="2"/>
              </w:numPr>
              <w:tabs>
                <w:tab w:val="left" w:pos="990"/>
              </w:tabs>
              <w:spacing w:before="60"/>
              <w:ind w:left="547"/>
              <w:rPr>
                <w:b/>
                <w:szCs w:val="24"/>
              </w:rPr>
            </w:pPr>
            <w:r>
              <w:rPr>
                <w:b/>
                <w:bCs/>
              </w:rPr>
              <w:t>Employee Payline Accounts</w:t>
            </w:r>
          </w:p>
          <w:p w:rsidR="00AB2032" w:rsidRPr="00633FB7" w:rsidRDefault="00AB2032" w:rsidP="00C724CB">
            <w:pPr>
              <w:numPr>
                <w:ilvl w:val="0"/>
                <w:numId w:val="2"/>
              </w:numPr>
              <w:tabs>
                <w:tab w:val="left" w:pos="990"/>
              </w:tabs>
              <w:spacing w:before="60"/>
              <w:ind w:left="547"/>
              <w:rPr>
                <w:b/>
                <w:szCs w:val="24"/>
              </w:rPr>
            </w:pPr>
            <w:r>
              <w:rPr>
                <w:b/>
                <w:bCs/>
              </w:rPr>
              <w:t>Virginia State Employee Loan Program</w:t>
            </w:r>
          </w:p>
          <w:p w:rsidR="00633FB7" w:rsidRPr="0028144B" w:rsidRDefault="00633FB7" w:rsidP="00C724CB">
            <w:pPr>
              <w:numPr>
                <w:ilvl w:val="0"/>
                <w:numId w:val="2"/>
              </w:numPr>
              <w:tabs>
                <w:tab w:val="left" w:pos="990"/>
              </w:tabs>
              <w:spacing w:before="60"/>
              <w:ind w:left="547"/>
              <w:rPr>
                <w:b/>
                <w:szCs w:val="24"/>
              </w:rPr>
            </w:pPr>
            <w:r>
              <w:rPr>
                <w:b/>
                <w:bCs/>
              </w:rPr>
              <w:t>Terminated Employees with Child Support</w:t>
            </w:r>
          </w:p>
          <w:p w:rsidR="0028144B" w:rsidRPr="00C724CB" w:rsidRDefault="0028144B" w:rsidP="00C724CB">
            <w:pPr>
              <w:numPr>
                <w:ilvl w:val="0"/>
                <w:numId w:val="2"/>
              </w:numPr>
              <w:tabs>
                <w:tab w:val="left" w:pos="990"/>
              </w:tabs>
              <w:spacing w:before="60"/>
              <w:ind w:left="547"/>
              <w:rPr>
                <w:b/>
                <w:szCs w:val="24"/>
              </w:rPr>
            </w:pPr>
            <w:r>
              <w:rPr>
                <w:b/>
                <w:szCs w:val="24"/>
              </w:rPr>
              <w:t>Earnings Reclassification with Reciprocal State Taxation</w:t>
            </w:r>
          </w:p>
        </w:tc>
        <w:tc>
          <w:tcPr>
            <w:tcW w:w="3795" w:type="dxa"/>
          </w:tcPr>
          <w:p w:rsidR="0056085F" w:rsidRPr="00226055" w:rsidRDefault="0056085F" w:rsidP="00D96E2A">
            <w:pPr>
              <w:tabs>
                <w:tab w:val="left" w:pos="990"/>
              </w:tabs>
              <w:spacing w:before="120"/>
              <w:rPr>
                <w:sz w:val="20"/>
              </w:rPr>
            </w:pPr>
            <w:r w:rsidRPr="00226055">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226055">
                <w:rPr>
                  <w:rStyle w:val="Hyperlink"/>
                  <w:sz w:val="20"/>
                </w:rPr>
                <w:t>cathy.mcgill@doa.virginia.gov</w:t>
              </w:r>
            </w:hyperlink>
          </w:p>
          <w:p w:rsidR="0056085F" w:rsidRPr="00226055" w:rsidRDefault="0056085F" w:rsidP="00D96E2A">
            <w:pPr>
              <w:tabs>
                <w:tab w:val="left" w:pos="990"/>
              </w:tabs>
              <w:spacing w:before="120"/>
              <w:jc w:val="both"/>
              <w:rPr>
                <w:sz w:val="20"/>
                <w:u w:val="single"/>
              </w:rPr>
            </w:pPr>
            <w:r w:rsidRPr="00226055">
              <w:rPr>
                <w:sz w:val="20"/>
                <w:u w:val="single"/>
              </w:rPr>
              <w:t>State Payroll Operations</w:t>
            </w:r>
          </w:p>
          <w:p w:rsidR="0056085F" w:rsidRPr="00226055" w:rsidRDefault="0056085F" w:rsidP="00D96E2A">
            <w:pPr>
              <w:tabs>
                <w:tab w:val="left" w:pos="990"/>
              </w:tabs>
              <w:spacing w:before="120"/>
              <w:rPr>
                <w:sz w:val="20"/>
              </w:rPr>
            </w:pPr>
            <w:r w:rsidRPr="00226055">
              <w:rPr>
                <w:b/>
                <w:sz w:val="20"/>
              </w:rPr>
              <w:t>Director                         Lora L. George</w:t>
            </w:r>
          </w:p>
          <w:p w:rsidR="0056085F" w:rsidRPr="00226055" w:rsidRDefault="0056085F" w:rsidP="00D96E2A">
            <w:pPr>
              <w:tabs>
                <w:tab w:val="left" w:pos="990"/>
              </w:tabs>
              <w:spacing w:before="120"/>
              <w:rPr>
                <w:szCs w:val="24"/>
              </w:rPr>
            </w:pPr>
            <w:r w:rsidRPr="00226055">
              <w:rPr>
                <w:sz w:val="20"/>
              </w:rPr>
              <w:t>Assistant Director          Cathy C. McGill</w:t>
            </w:r>
          </w:p>
        </w:tc>
      </w:tr>
    </w:tbl>
    <w:p w:rsidR="0071545D" w:rsidRDefault="0071545D" w:rsidP="0071545D">
      <w:pPr>
        <w:pStyle w:val="BlockLine"/>
        <w:ind w:left="1620"/>
      </w:pPr>
    </w:p>
    <w:p w:rsidR="00CE2BF4" w:rsidRPr="00F17B9E" w:rsidRDefault="008D5791" w:rsidP="00CE2BF4">
      <w:pPr>
        <w:pStyle w:val="MapTitleContinued"/>
        <w:rPr>
          <w:rFonts w:ascii="Times New Roman" w:hAnsi="Times New Roman"/>
          <w:b w:val="0"/>
          <w:sz w:val="28"/>
          <w:szCs w:val="28"/>
        </w:rPr>
      </w:pPr>
      <w:r w:rsidRPr="00F17B9E">
        <w:rPr>
          <w:rFonts w:ascii="Times New Roman" w:hAnsi="Times New Roman"/>
          <w:sz w:val="28"/>
          <w:szCs w:val="28"/>
        </w:rPr>
        <w:t>PMIS to CIPPS New Hire Interface Update</w:t>
      </w:r>
    </w:p>
    <w:p w:rsidR="0071545D" w:rsidRPr="0071545D" w:rsidRDefault="0071545D" w:rsidP="0071545D">
      <w:pPr>
        <w:pStyle w:val="BlockLine"/>
        <w:ind w:left="1620"/>
        <w:rPr>
          <w:sz w:val="16"/>
          <w:szCs w:val="16"/>
        </w:rPr>
      </w:pPr>
    </w:p>
    <w:tbl>
      <w:tblPr>
        <w:tblW w:w="10188" w:type="dxa"/>
        <w:tblLayout w:type="fixed"/>
        <w:tblLook w:val="0000"/>
      </w:tblPr>
      <w:tblGrid>
        <w:gridCol w:w="1728"/>
        <w:gridCol w:w="8460"/>
      </w:tblGrid>
      <w:tr w:rsidR="00CE2BF4">
        <w:trPr>
          <w:cantSplit/>
        </w:trPr>
        <w:tc>
          <w:tcPr>
            <w:tcW w:w="1728" w:type="dxa"/>
          </w:tcPr>
          <w:p w:rsidR="00CE2BF4" w:rsidRDefault="00A15C47" w:rsidP="008E75C6">
            <w:pPr>
              <w:pStyle w:val="Heading5"/>
            </w:pPr>
            <w:r>
              <w:t>Additional PMIS Reason Codes</w:t>
            </w:r>
          </w:p>
        </w:tc>
        <w:tc>
          <w:tcPr>
            <w:tcW w:w="8460" w:type="dxa"/>
          </w:tcPr>
          <w:p w:rsidR="00890D32" w:rsidRPr="00CB0A2D" w:rsidRDefault="00A15C47" w:rsidP="00A15C47">
            <w:pPr>
              <w:pStyle w:val="NormalWeb"/>
              <w:rPr>
                <w:rFonts w:ascii="Times New Roman" w:hAnsi="Times New Roman"/>
                <w:sz w:val="24"/>
                <w:szCs w:val="24"/>
              </w:rPr>
            </w:pPr>
            <w:r w:rsidRPr="00CB0A2D">
              <w:rPr>
                <w:rFonts w:ascii="Times New Roman" w:hAnsi="Times New Roman"/>
                <w:sz w:val="24"/>
                <w:szCs w:val="24"/>
              </w:rPr>
              <w:t xml:space="preserve">The PMIS New Hire Interface was updated </w:t>
            </w:r>
            <w:r w:rsidR="00E14218" w:rsidRPr="00CB0A2D">
              <w:rPr>
                <w:rFonts w:ascii="Times New Roman" w:hAnsi="Times New Roman"/>
                <w:sz w:val="24"/>
                <w:szCs w:val="24"/>
              </w:rPr>
              <w:t>on November 12</w:t>
            </w:r>
            <w:r w:rsidRPr="00CB0A2D">
              <w:rPr>
                <w:rFonts w:ascii="Times New Roman" w:hAnsi="Times New Roman"/>
                <w:sz w:val="24"/>
                <w:szCs w:val="24"/>
              </w:rPr>
              <w:t xml:space="preserve"> to allow CIPPS to create a new hire "shell" record for additional PMIS Reason Codes.  A complete listing of PMIS Reason Codes that generate a new hire "shell" record in CIPPS is available below.  New hires established through the interface can be reviewed on Report U179.  Items that cannot be updated because of an error are listed on Report U178.</w:t>
            </w:r>
          </w:p>
          <w:p w:rsidR="00A15C47" w:rsidRPr="00CB0A2D" w:rsidRDefault="00A15C47" w:rsidP="00A15C47">
            <w:pPr>
              <w:pStyle w:val="NormalWeb"/>
              <w:rPr>
                <w:rFonts w:ascii="Times New Roman" w:hAnsi="Times New Roman"/>
                <w:sz w:val="24"/>
                <w:szCs w:val="24"/>
              </w:rPr>
            </w:pPr>
            <w:r w:rsidRPr="00CB0A2D">
              <w:rPr>
                <w:rFonts w:ascii="Times New Roman" w:hAnsi="Times New Roman"/>
                <w:sz w:val="24"/>
                <w:szCs w:val="24"/>
              </w:rPr>
              <w:t xml:space="preserve">Initial PMIS Reason Codes: </w:t>
            </w:r>
          </w:p>
          <w:p w:rsidR="00A15C47" w:rsidRPr="00CB0A2D" w:rsidRDefault="00A15C47" w:rsidP="00A15C47">
            <w:pPr>
              <w:pStyle w:val="NormalWeb"/>
              <w:rPr>
                <w:rFonts w:ascii="Times New Roman" w:hAnsi="Times New Roman"/>
                <w:sz w:val="24"/>
                <w:szCs w:val="24"/>
              </w:rPr>
            </w:pPr>
            <w:r w:rsidRPr="00CB0A2D">
              <w:rPr>
                <w:rFonts w:ascii="Times New Roman" w:hAnsi="Times New Roman"/>
                <w:sz w:val="24"/>
                <w:szCs w:val="24"/>
              </w:rPr>
              <w:t xml:space="preserve">        Reason Code 301 - Original Appointment </w:t>
            </w:r>
            <w:r w:rsidRPr="00CB0A2D">
              <w:rPr>
                <w:rFonts w:ascii="Times New Roman" w:hAnsi="Times New Roman"/>
                <w:sz w:val="24"/>
                <w:szCs w:val="24"/>
              </w:rPr>
              <w:br/>
              <w:t xml:space="preserve">        Reason Code 302 - Rehire (Re-Establish) </w:t>
            </w:r>
            <w:r w:rsidRPr="00CB0A2D">
              <w:rPr>
                <w:rFonts w:ascii="Times New Roman" w:hAnsi="Times New Roman"/>
                <w:sz w:val="24"/>
                <w:szCs w:val="24"/>
              </w:rPr>
              <w:br/>
              <w:t xml:space="preserve">        Reason Code 304 - Reinstate </w:t>
            </w:r>
          </w:p>
          <w:p w:rsidR="00A15C47" w:rsidRPr="00CB0A2D" w:rsidRDefault="00A15C47" w:rsidP="00A15C47">
            <w:pPr>
              <w:pStyle w:val="NormalWeb"/>
              <w:rPr>
                <w:rFonts w:ascii="Times New Roman" w:hAnsi="Times New Roman"/>
                <w:sz w:val="24"/>
                <w:szCs w:val="24"/>
              </w:rPr>
            </w:pPr>
            <w:r w:rsidRPr="00CB0A2D">
              <w:rPr>
                <w:rFonts w:ascii="Times New Roman" w:hAnsi="Times New Roman"/>
                <w:sz w:val="24"/>
                <w:szCs w:val="24"/>
              </w:rPr>
              <w:t xml:space="preserve">Additional PMIS Reason Codes added last night: </w:t>
            </w:r>
          </w:p>
          <w:p w:rsidR="00CE2BF4" w:rsidRPr="00CB0A2D" w:rsidRDefault="00A15C47" w:rsidP="00A15C47">
            <w:pPr>
              <w:pStyle w:val="NormalWeb"/>
              <w:rPr>
                <w:rFonts w:ascii="Times New Roman" w:hAnsi="Times New Roman"/>
                <w:sz w:val="24"/>
                <w:szCs w:val="24"/>
              </w:rPr>
            </w:pPr>
            <w:r w:rsidRPr="00CB0A2D">
              <w:rPr>
                <w:rFonts w:ascii="Times New Roman" w:hAnsi="Times New Roman"/>
                <w:sz w:val="24"/>
                <w:szCs w:val="24"/>
              </w:rPr>
              <w:t xml:space="preserve">        Reason Code 013 - Lateral/Competitive Voluntary Transfer </w:t>
            </w:r>
            <w:r w:rsidRPr="00CB0A2D">
              <w:rPr>
                <w:rFonts w:ascii="Times New Roman" w:hAnsi="Times New Roman"/>
                <w:sz w:val="24"/>
                <w:szCs w:val="24"/>
              </w:rPr>
              <w:br/>
              <w:t xml:space="preserve">        Reason Code 040 - Promotion </w:t>
            </w:r>
            <w:r w:rsidRPr="00CB0A2D">
              <w:rPr>
                <w:rFonts w:ascii="Times New Roman" w:hAnsi="Times New Roman"/>
                <w:sz w:val="24"/>
                <w:szCs w:val="24"/>
              </w:rPr>
              <w:br/>
              <w:t xml:space="preserve">        Reason Code 045 - Faculty Promotion </w:t>
            </w:r>
            <w:r w:rsidRPr="00CB0A2D">
              <w:rPr>
                <w:rFonts w:ascii="Times New Roman" w:hAnsi="Times New Roman"/>
                <w:sz w:val="24"/>
                <w:szCs w:val="24"/>
              </w:rPr>
              <w:br/>
              <w:t xml:space="preserve">        Reason Code 050 - Faculty Demotion </w:t>
            </w:r>
            <w:r w:rsidRPr="00CB0A2D">
              <w:rPr>
                <w:rFonts w:ascii="Times New Roman" w:hAnsi="Times New Roman"/>
                <w:sz w:val="24"/>
                <w:szCs w:val="24"/>
              </w:rPr>
              <w:br/>
              <w:t xml:space="preserve">        Reason Code 080 - Exceptional Promotion </w:t>
            </w:r>
            <w:r w:rsidRPr="00CB0A2D">
              <w:rPr>
                <w:rFonts w:ascii="Times New Roman" w:hAnsi="Times New Roman"/>
                <w:sz w:val="24"/>
                <w:szCs w:val="24"/>
              </w:rPr>
              <w:br/>
              <w:t xml:space="preserve">        Reason Code 081 - Exceptional Demotion </w:t>
            </w:r>
            <w:r w:rsidRPr="00CB0A2D">
              <w:rPr>
                <w:rFonts w:ascii="Times New Roman" w:hAnsi="Times New Roman"/>
                <w:sz w:val="24"/>
                <w:szCs w:val="24"/>
              </w:rPr>
              <w:br/>
              <w:t xml:space="preserve">        Reason Code 084 - Exceptional Transfer-In </w:t>
            </w:r>
          </w:p>
          <w:p w:rsidR="002E4A29" w:rsidRPr="00CB0A2D" w:rsidRDefault="002E4A29" w:rsidP="00092932">
            <w:pPr>
              <w:pStyle w:val="NormalWeb"/>
              <w:rPr>
                <w:rFonts w:ascii="Times New Roman" w:hAnsi="Times New Roman"/>
                <w:sz w:val="24"/>
                <w:szCs w:val="24"/>
              </w:rPr>
            </w:pPr>
            <w:r w:rsidRPr="00CB0A2D">
              <w:rPr>
                <w:rFonts w:ascii="Times New Roman" w:hAnsi="Times New Roman"/>
                <w:sz w:val="24"/>
                <w:szCs w:val="24"/>
              </w:rPr>
              <w:t xml:space="preserve">As feedback </w:t>
            </w:r>
            <w:r w:rsidR="00092932">
              <w:rPr>
                <w:rFonts w:ascii="Times New Roman" w:hAnsi="Times New Roman"/>
                <w:sz w:val="24"/>
                <w:szCs w:val="24"/>
              </w:rPr>
              <w:t xml:space="preserve">is received </w:t>
            </w:r>
            <w:r w:rsidRPr="00CB0A2D">
              <w:rPr>
                <w:rFonts w:ascii="Times New Roman" w:hAnsi="Times New Roman"/>
                <w:sz w:val="24"/>
                <w:szCs w:val="24"/>
              </w:rPr>
              <w:t xml:space="preserve">from line agencies, other Reason Codes </w:t>
            </w:r>
            <w:r w:rsidR="00092932">
              <w:rPr>
                <w:rFonts w:ascii="Times New Roman" w:hAnsi="Times New Roman"/>
                <w:sz w:val="24"/>
                <w:szCs w:val="24"/>
              </w:rPr>
              <w:t xml:space="preserve">will be evaluated for inclusion </w:t>
            </w:r>
            <w:r w:rsidRPr="00CB0A2D">
              <w:rPr>
                <w:rFonts w:ascii="Times New Roman" w:hAnsi="Times New Roman"/>
                <w:sz w:val="24"/>
                <w:szCs w:val="24"/>
              </w:rPr>
              <w:t xml:space="preserve">in the future.  If </w:t>
            </w:r>
            <w:r w:rsidR="00092932">
              <w:rPr>
                <w:rFonts w:ascii="Times New Roman" w:hAnsi="Times New Roman"/>
                <w:sz w:val="24"/>
                <w:szCs w:val="24"/>
              </w:rPr>
              <w:t>a</w:t>
            </w:r>
            <w:r w:rsidRPr="00CB0A2D">
              <w:rPr>
                <w:rFonts w:ascii="Times New Roman" w:hAnsi="Times New Roman"/>
                <w:sz w:val="24"/>
                <w:szCs w:val="24"/>
              </w:rPr>
              <w:t xml:space="preserve"> new hire was added to PMIS with a Reason Code that is not shown above, the record </w:t>
            </w:r>
            <w:r w:rsidR="00092932">
              <w:rPr>
                <w:rFonts w:ascii="Times New Roman" w:hAnsi="Times New Roman"/>
                <w:sz w:val="24"/>
                <w:szCs w:val="24"/>
              </w:rPr>
              <w:t xml:space="preserve">will have to be </w:t>
            </w:r>
            <w:r w:rsidRPr="00CB0A2D">
              <w:rPr>
                <w:rFonts w:ascii="Times New Roman" w:hAnsi="Times New Roman"/>
                <w:sz w:val="24"/>
                <w:szCs w:val="24"/>
              </w:rPr>
              <w:t xml:space="preserve">manually </w:t>
            </w:r>
            <w:r w:rsidR="00092932">
              <w:rPr>
                <w:rFonts w:ascii="Times New Roman" w:hAnsi="Times New Roman"/>
                <w:sz w:val="24"/>
                <w:szCs w:val="24"/>
              </w:rPr>
              <w:t xml:space="preserve">added </w:t>
            </w:r>
            <w:r w:rsidRPr="00CB0A2D">
              <w:rPr>
                <w:rFonts w:ascii="Times New Roman" w:hAnsi="Times New Roman"/>
                <w:sz w:val="24"/>
                <w:szCs w:val="24"/>
              </w:rPr>
              <w:t>to CIPPS.</w:t>
            </w:r>
          </w:p>
        </w:tc>
      </w:tr>
    </w:tbl>
    <w:p w:rsidR="00700615" w:rsidRDefault="00700615" w:rsidP="00700615">
      <w:pPr>
        <w:pStyle w:val="BlockLine"/>
        <w:ind w:left="1620"/>
      </w:pPr>
    </w:p>
    <w:p w:rsidR="00F60958" w:rsidRDefault="007C13DE" w:rsidP="00F43DB3">
      <w:r>
        <w:tab/>
      </w:r>
      <w:r>
        <w:tab/>
      </w:r>
    </w:p>
    <w:p w:rsidR="008208E6" w:rsidRDefault="008208E6" w:rsidP="00F43DB3"/>
    <w:p w:rsidR="00A00E05" w:rsidRDefault="00A00E05">
      <w:pPr>
        <w:rPr>
          <w:b/>
          <w:bCs/>
          <w:sz w:val="28"/>
          <w:szCs w:val="28"/>
        </w:rPr>
      </w:pPr>
      <w:r>
        <w:rPr>
          <w:b/>
          <w:bCs/>
          <w:sz w:val="28"/>
          <w:szCs w:val="28"/>
        </w:rPr>
        <w:br w:type="page"/>
      </w:r>
    </w:p>
    <w:p w:rsidR="00E85B7B" w:rsidRPr="00AB2032" w:rsidRDefault="0028144B" w:rsidP="00E85B7B">
      <w:pPr>
        <w:rPr>
          <w:b/>
          <w:bCs/>
          <w:sz w:val="28"/>
          <w:szCs w:val="28"/>
        </w:rPr>
      </w:pPr>
      <w:r>
        <w:rPr>
          <w:b/>
          <w:bCs/>
          <w:sz w:val="28"/>
          <w:szCs w:val="28"/>
        </w:rPr>
        <w:t>Employee Payline Accounts</w:t>
      </w:r>
    </w:p>
    <w:p w:rsidR="0071545D" w:rsidRPr="00983A1E" w:rsidRDefault="0071545D" w:rsidP="0071545D">
      <w:pPr>
        <w:pStyle w:val="BlockLine"/>
        <w:ind w:left="1620"/>
        <w:rPr>
          <w:sz w:val="16"/>
          <w:szCs w:val="16"/>
        </w:rPr>
      </w:pPr>
    </w:p>
    <w:tbl>
      <w:tblPr>
        <w:tblW w:w="9990" w:type="dxa"/>
        <w:tblInd w:w="108" w:type="dxa"/>
        <w:tblLayout w:type="fixed"/>
        <w:tblLook w:val="0000"/>
      </w:tblPr>
      <w:tblGrid>
        <w:gridCol w:w="1620"/>
        <w:gridCol w:w="8370"/>
      </w:tblGrid>
      <w:tr w:rsidR="0071545D" w:rsidTr="00AB2032">
        <w:trPr>
          <w:cantSplit/>
        </w:trPr>
        <w:tc>
          <w:tcPr>
            <w:tcW w:w="1620" w:type="dxa"/>
          </w:tcPr>
          <w:p w:rsidR="0071545D" w:rsidRDefault="00BD5FF0" w:rsidP="003E6C32">
            <w:pPr>
              <w:pStyle w:val="Heading5"/>
            </w:pPr>
            <w:r>
              <w:t xml:space="preserve">New </w:t>
            </w:r>
            <w:r w:rsidR="003E6C32">
              <w:t>Employee Passwords</w:t>
            </w:r>
          </w:p>
        </w:tc>
        <w:tc>
          <w:tcPr>
            <w:tcW w:w="8370" w:type="dxa"/>
          </w:tcPr>
          <w:p w:rsidR="0071545D" w:rsidRPr="008A7B97" w:rsidRDefault="003E6C32" w:rsidP="003E6C32">
            <w:pPr>
              <w:pStyle w:val="NormalWeb"/>
              <w:rPr>
                <w:rFonts w:ascii="Times New Roman" w:hAnsi="Times New Roman"/>
                <w:sz w:val="24"/>
                <w:szCs w:val="24"/>
              </w:rPr>
            </w:pPr>
            <w:r>
              <w:rPr>
                <w:rFonts w:ascii="Times New Roman" w:hAnsi="Times New Roman"/>
                <w:sz w:val="24"/>
                <w:szCs w:val="24"/>
              </w:rPr>
              <w:t>Payline establishes records for employees from the earnings data resulting from payroll certifications.  New employees should be advised that they will not be able to establish an account in Payline until their first pay has been processed, normally three days prior to their first pay</w:t>
            </w:r>
            <w:r w:rsidR="003F00F4">
              <w:rPr>
                <w:rFonts w:ascii="Times New Roman" w:hAnsi="Times New Roman"/>
                <w:sz w:val="24"/>
                <w:szCs w:val="24"/>
              </w:rPr>
              <w:t xml:space="preserve"> </w:t>
            </w:r>
            <w:r>
              <w:rPr>
                <w:rFonts w:ascii="Times New Roman" w:hAnsi="Times New Roman"/>
                <w:sz w:val="24"/>
                <w:szCs w:val="24"/>
              </w:rPr>
              <w:t>date.</w:t>
            </w:r>
          </w:p>
        </w:tc>
      </w:tr>
    </w:tbl>
    <w:p w:rsidR="0071545D" w:rsidRDefault="0071545D" w:rsidP="0071545D">
      <w:pPr>
        <w:pStyle w:val="BlockLine"/>
        <w:ind w:left="1620"/>
      </w:pPr>
    </w:p>
    <w:p w:rsidR="00750385" w:rsidRPr="00AB2032" w:rsidRDefault="0028144B" w:rsidP="00750385">
      <w:pPr>
        <w:rPr>
          <w:b/>
          <w:bCs/>
          <w:sz w:val="28"/>
          <w:szCs w:val="28"/>
        </w:rPr>
      </w:pPr>
      <w:r>
        <w:rPr>
          <w:b/>
          <w:bCs/>
          <w:sz w:val="28"/>
          <w:szCs w:val="28"/>
        </w:rPr>
        <w:t>Virginia State Employee Loan Program</w:t>
      </w:r>
    </w:p>
    <w:p w:rsidR="00750385" w:rsidRDefault="00750385" w:rsidP="00750385">
      <w:pPr>
        <w:pStyle w:val="BlockLine"/>
        <w:ind w:left="1620"/>
        <w:rPr>
          <w:sz w:val="16"/>
          <w:szCs w:val="16"/>
        </w:rPr>
      </w:pPr>
    </w:p>
    <w:tbl>
      <w:tblPr>
        <w:tblW w:w="9990" w:type="dxa"/>
        <w:tblInd w:w="108" w:type="dxa"/>
        <w:tblLayout w:type="fixed"/>
        <w:tblLook w:val="0000"/>
      </w:tblPr>
      <w:tblGrid>
        <w:gridCol w:w="1620"/>
        <w:gridCol w:w="8370"/>
      </w:tblGrid>
      <w:tr w:rsidR="00750385" w:rsidTr="00750385">
        <w:trPr>
          <w:cantSplit/>
        </w:trPr>
        <w:tc>
          <w:tcPr>
            <w:tcW w:w="1620" w:type="dxa"/>
          </w:tcPr>
          <w:p w:rsidR="00750385" w:rsidRDefault="00750385" w:rsidP="00750385">
            <w:pPr>
              <w:pStyle w:val="Heading5"/>
            </w:pPr>
            <w:r>
              <w:t>Early Payoffs/New Loans</w:t>
            </w:r>
          </w:p>
        </w:tc>
        <w:tc>
          <w:tcPr>
            <w:tcW w:w="8370" w:type="dxa"/>
          </w:tcPr>
          <w:p w:rsidR="003E65BF" w:rsidRPr="00004F48" w:rsidRDefault="00750385" w:rsidP="003E65BF">
            <w:pPr>
              <w:pStyle w:val="NormalWeb"/>
              <w:rPr>
                <w:rFonts w:ascii="Times New Roman" w:hAnsi="Times New Roman"/>
                <w:sz w:val="24"/>
                <w:szCs w:val="24"/>
              </w:rPr>
            </w:pPr>
            <w:r>
              <w:rPr>
                <w:rFonts w:ascii="Times New Roman" w:hAnsi="Times New Roman"/>
                <w:sz w:val="24"/>
                <w:szCs w:val="24"/>
              </w:rPr>
              <w:t xml:space="preserve">There has been an increase in the number of loan payments being returned to DOA by the VACU.  In most cases, the funds are being returned because the accounts </w:t>
            </w:r>
            <w:r w:rsidRPr="00004F48">
              <w:rPr>
                <w:rFonts w:ascii="Times New Roman" w:hAnsi="Times New Roman"/>
                <w:sz w:val="24"/>
                <w:szCs w:val="24"/>
              </w:rPr>
              <w:t>have been “closed” which means that the employee probably paid the loan off early and neglected to inform payroll that the deduction should be stopped.</w:t>
            </w:r>
            <w:r w:rsidR="003E65BF" w:rsidRPr="00004F48">
              <w:rPr>
                <w:rFonts w:ascii="Times New Roman" w:hAnsi="Times New Roman"/>
                <w:sz w:val="24"/>
                <w:szCs w:val="24"/>
              </w:rPr>
              <w:t xml:space="preserve">  The agency </w:t>
            </w:r>
            <w:r w:rsidR="002A7E06">
              <w:rPr>
                <w:rFonts w:ascii="Times New Roman" w:hAnsi="Times New Roman"/>
                <w:sz w:val="24"/>
                <w:szCs w:val="24"/>
              </w:rPr>
              <w:t xml:space="preserve">receives no </w:t>
            </w:r>
            <w:r w:rsidR="00E0182D">
              <w:rPr>
                <w:rFonts w:ascii="Times New Roman" w:hAnsi="Times New Roman"/>
                <w:sz w:val="24"/>
                <w:szCs w:val="24"/>
              </w:rPr>
              <w:t>notification to stop the deduction</w:t>
            </w:r>
            <w:r w:rsidR="003E65BF" w:rsidRPr="00004F48">
              <w:rPr>
                <w:rFonts w:ascii="Times New Roman" w:hAnsi="Times New Roman"/>
                <w:sz w:val="24"/>
                <w:szCs w:val="24"/>
              </w:rPr>
              <w:t xml:space="preserve"> unless the employee </w:t>
            </w:r>
            <w:r w:rsidR="0031126D">
              <w:rPr>
                <w:rFonts w:ascii="Times New Roman" w:hAnsi="Times New Roman"/>
                <w:sz w:val="24"/>
                <w:szCs w:val="24"/>
              </w:rPr>
              <w:t xml:space="preserve">happens to mention it or </w:t>
            </w:r>
            <w:r w:rsidR="003E65BF" w:rsidRPr="00004F48">
              <w:rPr>
                <w:rFonts w:ascii="Times New Roman" w:hAnsi="Times New Roman"/>
                <w:sz w:val="24"/>
                <w:szCs w:val="24"/>
              </w:rPr>
              <w:t>subsequently request</w:t>
            </w:r>
            <w:r w:rsidR="00E0182D">
              <w:rPr>
                <w:rFonts w:ascii="Times New Roman" w:hAnsi="Times New Roman"/>
                <w:sz w:val="24"/>
                <w:szCs w:val="24"/>
              </w:rPr>
              <w:t>s</w:t>
            </w:r>
            <w:r w:rsidR="003E65BF" w:rsidRPr="00004F48">
              <w:rPr>
                <w:rFonts w:ascii="Times New Roman" w:hAnsi="Times New Roman"/>
                <w:sz w:val="24"/>
                <w:szCs w:val="24"/>
              </w:rPr>
              <w:t xml:space="preserve"> a new loan and submits the direct deposit form for the new loan account.  </w:t>
            </w:r>
          </w:p>
          <w:p w:rsidR="00586F4B" w:rsidRPr="00004F48" w:rsidRDefault="005928FC" w:rsidP="00586F4B">
            <w:pPr>
              <w:pStyle w:val="NormalWeb"/>
              <w:rPr>
                <w:rFonts w:ascii="Times New Roman" w:hAnsi="Times New Roman"/>
                <w:sz w:val="24"/>
                <w:szCs w:val="24"/>
              </w:rPr>
            </w:pPr>
            <w:r w:rsidRPr="00004F48">
              <w:rPr>
                <w:rFonts w:ascii="Times New Roman" w:hAnsi="Times New Roman"/>
                <w:sz w:val="24"/>
                <w:szCs w:val="24"/>
              </w:rPr>
              <w:t xml:space="preserve">If </w:t>
            </w:r>
            <w:r w:rsidR="003E65BF" w:rsidRPr="00004F48">
              <w:rPr>
                <w:rFonts w:ascii="Times New Roman" w:hAnsi="Times New Roman"/>
                <w:sz w:val="24"/>
                <w:szCs w:val="24"/>
              </w:rPr>
              <w:t>a direct deposit form for a VSE Loan</w:t>
            </w:r>
            <w:r w:rsidRPr="00004F48">
              <w:rPr>
                <w:rFonts w:ascii="Times New Roman" w:hAnsi="Times New Roman"/>
                <w:sz w:val="24"/>
                <w:szCs w:val="24"/>
              </w:rPr>
              <w:t xml:space="preserve"> is received</w:t>
            </w:r>
            <w:r w:rsidR="003E65BF" w:rsidRPr="00004F48">
              <w:rPr>
                <w:rFonts w:ascii="Times New Roman" w:hAnsi="Times New Roman"/>
                <w:sz w:val="24"/>
                <w:szCs w:val="24"/>
              </w:rPr>
              <w:t xml:space="preserve">, but the employee already has an active deduction 158, then </w:t>
            </w:r>
            <w:r w:rsidR="0090246C">
              <w:rPr>
                <w:rFonts w:ascii="Times New Roman" w:hAnsi="Times New Roman"/>
                <w:sz w:val="24"/>
                <w:szCs w:val="24"/>
              </w:rPr>
              <w:t>it is likely</w:t>
            </w:r>
            <w:r w:rsidR="003E65BF" w:rsidRPr="00004F48">
              <w:rPr>
                <w:rFonts w:ascii="Times New Roman" w:hAnsi="Times New Roman"/>
                <w:sz w:val="24"/>
                <w:szCs w:val="24"/>
              </w:rPr>
              <w:t xml:space="preserve"> that the employee paid the </w:t>
            </w:r>
            <w:r w:rsidR="0090246C">
              <w:rPr>
                <w:rFonts w:ascii="Times New Roman" w:hAnsi="Times New Roman"/>
                <w:sz w:val="24"/>
                <w:szCs w:val="24"/>
              </w:rPr>
              <w:t>original</w:t>
            </w:r>
            <w:r w:rsidR="003E65BF" w:rsidRPr="00004F48">
              <w:rPr>
                <w:rFonts w:ascii="Times New Roman" w:hAnsi="Times New Roman"/>
                <w:sz w:val="24"/>
                <w:szCs w:val="24"/>
              </w:rPr>
              <w:t xml:space="preserve"> loan off and has requested a new loan.  If so,</w:t>
            </w:r>
            <w:r w:rsidR="00667C93" w:rsidRPr="00004F48">
              <w:rPr>
                <w:rFonts w:ascii="Times New Roman" w:hAnsi="Times New Roman"/>
                <w:sz w:val="24"/>
                <w:szCs w:val="24"/>
              </w:rPr>
              <w:t xml:space="preserve"> </w:t>
            </w:r>
            <w:r w:rsidR="00AC02B0" w:rsidRPr="00004F48">
              <w:rPr>
                <w:rFonts w:ascii="Times New Roman" w:hAnsi="Times New Roman"/>
                <w:sz w:val="24"/>
                <w:szCs w:val="24"/>
              </w:rPr>
              <w:t>re</w:t>
            </w:r>
            <w:r w:rsidR="0090246C">
              <w:rPr>
                <w:rFonts w:ascii="Times New Roman" w:hAnsi="Times New Roman"/>
                <w:sz w:val="24"/>
                <w:szCs w:val="24"/>
              </w:rPr>
              <w:t>establish the deduction using the process f</w:t>
            </w:r>
            <w:r w:rsidR="00AC02B0" w:rsidRPr="00004F48">
              <w:rPr>
                <w:rFonts w:ascii="Times New Roman" w:hAnsi="Times New Roman"/>
                <w:sz w:val="24"/>
                <w:szCs w:val="24"/>
              </w:rPr>
              <w:t xml:space="preserve">or </w:t>
            </w:r>
            <w:r w:rsidR="0090246C">
              <w:rPr>
                <w:rFonts w:ascii="Times New Roman" w:hAnsi="Times New Roman"/>
                <w:sz w:val="24"/>
                <w:szCs w:val="24"/>
              </w:rPr>
              <w:t xml:space="preserve">setting up </w:t>
            </w:r>
            <w:r w:rsidR="004F076B">
              <w:rPr>
                <w:rFonts w:ascii="Times New Roman" w:hAnsi="Times New Roman"/>
                <w:sz w:val="24"/>
                <w:szCs w:val="24"/>
              </w:rPr>
              <w:t>a VSE Loan deduction:</w:t>
            </w:r>
          </w:p>
          <w:p w:rsidR="00586F4B" w:rsidRPr="00004F48" w:rsidRDefault="00AC02B0" w:rsidP="008E613E">
            <w:pPr>
              <w:pStyle w:val="NormalWeb"/>
              <w:numPr>
                <w:ilvl w:val="0"/>
                <w:numId w:val="12"/>
              </w:numPr>
              <w:rPr>
                <w:rFonts w:ascii="Times New Roman" w:hAnsi="Times New Roman"/>
                <w:sz w:val="24"/>
                <w:szCs w:val="24"/>
              </w:rPr>
            </w:pPr>
            <w:r w:rsidRPr="00004F48">
              <w:rPr>
                <w:rFonts w:ascii="Times New Roman" w:hAnsi="Times New Roman"/>
                <w:sz w:val="24"/>
                <w:szCs w:val="24"/>
              </w:rPr>
              <w:t>E</w:t>
            </w:r>
            <w:r w:rsidR="003E65BF" w:rsidRPr="00004F48">
              <w:rPr>
                <w:rFonts w:ascii="Times New Roman" w:hAnsi="Times New Roman"/>
                <w:sz w:val="24"/>
                <w:szCs w:val="24"/>
              </w:rPr>
              <w:t>nsure that the loan acc</w:t>
            </w:r>
            <w:r w:rsidR="00004F48">
              <w:rPr>
                <w:rFonts w:ascii="Times New Roman" w:hAnsi="Times New Roman"/>
                <w:sz w:val="24"/>
                <w:szCs w:val="24"/>
              </w:rPr>
              <w:t>ount number has been updated in line 10 on H0BB1.</w:t>
            </w:r>
          </w:p>
          <w:p w:rsidR="00004F48" w:rsidRDefault="00586F4B" w:rsidP="008E613E">
            <w:pPr>
              <w:pStyle w:val="NormalWeb"/>
              <w:numPr>
                <w:ilvl w:val="0"/>
                <w:numId w:val="12"/>
              </w:numPr>
              <w:contextualSpacing/>
              <w:rPr>
                <w:rFonts w:ascii="Times New Roman" w:hAnsi="Times New Roman"/>
                <w:sz w:val="24"/>
                <w:szCs w:val="24"/>
              </w:rPr>
            </w:pPr>
            <w:r w:rsidRPr="00004F48">
              <w:rPr>
                <w:rFonts w:ascii="Times New Roman" w:hAnsi="Times New Roman"/>
                <w:sz w:val="24"/>
                <w:szCs w:val="24"/>
              </w:rPr>
              <w:t>On H0ZDC</w:t>
            </w:r>
            <w:r w:rsidR="00004F48" w:rsidRPr="00004F48">
              <w:rPr>
                <w:rFonts w:ascii="Times New Roman" w:hAnsi="Times New Roman"/>
                <w:sz w:val="24"/>
                <w:szCs w:val="24"/>
              </w:rPr>
              <w:t>, reset deduction number 158 for the new loan as follows:</w:t>
            </w:r>
          </w:p>
          <w:p w:rsidR="00004F48" w:rsidRDefault="00004F48" w:rsidP="008E613E">
            <w:pPr>
              <w:pStyle w:val="NormalWeb"/>
              <w:numPr>
                <w:ilvl w:val="1"/>
                <w:numId w:val="13"/>
              </w:numPr>
              <w:spacing w:after="200"/>
              <w:contextualSpacing/>
              <w:rPr>
                <w:rFonts w:ascii="Times New Roman" w:hAnsi="Times New Roman"/>
                <w:sz w:val="24"/>
                <w:szCs w:val="24"/>
              </w:rPr>
            </w:pPr>
            <w:r w:rsidRPr="00004F48">
              <w:rPr>
                <w:rFonts w:ascii="Times New Roman" w:hAnsi="Times New Roman"/>
                <w:sz w:val="24"/>
                <w:szCs w:val="24"/>
              </w:rPr>
              <w:t>Amt: enter VSELP payment per pay period amount</w:t>
            </w:r>
          </w:p>
          <w:p w:rsidR="00004F48" w:rsidRPr="00004F48" w:rsidRDefault="00004F48" w:rsidP="008E613E">
            <w:pPr>
              <w:pStyle w:val="NormalWeb"/>
              <w:numPr>
                <w:ilvl w:val="1"/>
                <w:numId w:val="13"/>
              </w:numPr>
              <w:spacing w:after="200"/>
              <w:contextualSpacing/>
              <w:rPr>
                <w:rFonts w:ascii="Times New Roman" w:hAnsi="Times New Roman"/>
                <w:sz w:val="24"/>
                <w:szCs w:val="24"/>
              </w:rPr>
            </w:pPr>
            <w:r w:rsidRPr="00004F48">
              <w:rPr>
                <w:rFonts w:ascii="Times New Roman" w:hAnsi="Times New Roman"/>
                <w:sz w:val="24"/>
                <w:szCs w:val="24"/>
              </w:rPr>
              <w:t>Goal: enter total repayment amount from chart on the form that corresponds to the amount entered in (a) above</w:t>
            </w:r>
          </w:p>
          <w:p w:rsidR="00004F48" w:rsidRPr="00004F48" w:rsidRDefault="00004F48" w:rsidP="008E613E">
            <w:pPr>
              <w:pStyle w:val="ListParagraph"/>
              <w:numPr>
                <w:ilvl w:val="1"/>
                <w:numId w:val="13"/>
              </w:numPr>
              <w:spacing w:after="200"/>
              <w:contextualSpacing/>
              <w:rPr>
                <w:szCs w:val="24"/>
              </w:rPr>
            </w:pPr>
            <w:r w:rsidRPr="00004F48">
              <w:rPr>
                <w:szCs w:val="24"/>
              </w:rPr>
              <w:t xml:space="preserve">Utility field:  </w:t>
            </w:r>
          </w:p>
          <w:p w:rsidR="00D708A1" w:rsidRDefault="00004F48" w:rsidP="008E613E">
            <w:pPr>
              <w:pStyle w:val="ListParagraph"/>
              <w:numPr>
                <w:ilvl w:val="2"/>
                <w:numId w:val="13"/>
              </w:numPr>
              <w:spacing w:after="200"/>
              <w:contextualSpacing/>
              <w:rPr>
                <w:szCs w:val="24"/>
              </w:rPr>
            </w:pPr>
            <w:r w:rsidRPr="00004F48">
              <w:rPr>
                <w:szCs w:val="24"/>
              </w:rPr>
              <w:t xml:space="preserve">Positions 6-7, enter the number of payments to make (for semi-monthly employees enter 12, for monthly enter 06).  Each time a loan payment is withheld this value is systematically reduced by one.  </w:t>
            </w:r>
          </w:p>
          <w:p w:rsidR="00D708A1" w:rsidRDefault="00004F48" w:rsidP="008E613E">
            <w:pPr>
              <w:pStyle w:val="ListParagraph"/>
              <w:numPr>
                <w:ilvl w:val="2"/>
                <w:numId w:val="13"/>
              </w:numPr>
              <w:spacing w:after="200"/>
              <w:contextualSpacing/>
              <w:rPr>
                <w:szCs w:val="24"/>
              </w:rPr>
            </w:pPr>
            <w:r w:rsidRPr="00D708A1">
              <w:rPr>
                <w:szCs w:val="24"/>
              </w:rPr>
              <w:t xml:space="preserve">Position </w:t>
            </w:r>
            <w:proofErr w:type="gramStart"/>
            <w:r w:rsidRPr="00D708A1">
              <w:rPr>
                <w:szCs w:val="24"/>
              </w:rPr>
              <w:t>8,</w:t>
            </w:r>
            <w:proofErr w:type="gramEnd"/>
            <w:r w:rsidRPr="00D708A1">
              <w:rPr>
                <w:szCs w:val="24"/>
              </w:rPr>
              <w:t xml:space="preserve"> enter a 1 to decrement the goal.</w:t>
            </w:r>
          </w:p>
          <w:p w:rsidR="00D708A1" w:rsidRPr="00D708A1" w:rsidRDefault="00004F48" w:rsidP="008E613E">
            <w:pPr>
              <w:pStyle w:val="ListParagraph"/>
              <w:numPr>
                <w:ilvl w:val="2"/>
                <w:numId w:val="13"/>
              </w:numPr>
              <w:spacing w:after="200"/>
              <w:contextualSpacing/>
              <w:rPr>
                <w:szCs w:val="24"/>
              </w:rPr>
            </w:pPr>
            <w:r w:rsidRPr="00D708A1">
              <w:rPr>
                <w:szCs w:val="24"/>
              </w:rPr>
              <w:t>Positions 9-10, enter 10 to indicate that the banking information is located in line 10 on H0BB1.</w:t>
            </w:r>
          </w:p>
          <w:p w:rsidR="004C16A5" w:rsidRDefault="00AC02B0" w:rsidP="008E613E">
            <w:pPr>
              <w:pStyle w:val="ListParagraph"/>
              <w:numPr>
                <w:ilvl w:val="1"/>
                <w:numId w:val="13"/>
              </w:numPr>
              <w:spacing w:after="200"/>
              <w:contextualSpacing/>
              <w:rPr>
                <w:szCs w:val="24"/>
              </w:rPr>
            </w:pPr>
            <w:r w:rsidRPr="00D708A1">
              <w:rPr>
                <w:szCs w:val="24"/>
              </w:rPr>
              <w:t xml:space="preserve">If you are using the </w:t>
            </w:r>
            <w:r w:rsidR="00586F4B" w:rsidRPr="00D708A1">
              <w:rPr>
                <w:szCs w:val="24"/>
              </w:rPr>
              <w:t>START DATE field</w:t>
            </w:r>
            <w:r w:rsidRPr="00D708A1">
              <w:rPr>
                <w:szCs w:val="24"/>
              </w:rPr>
              <w:t xml:space="preserve">, be sure to update </w:t>
            </w:r>
            <w:r w:rsidR="004C16A5">
              <w:rPr>
                <w:szCs w:val="24"/>
              </w:rPr>
              <w:t>with the top of a pay period based on the terms of the loan</w:t>
            </w:r>
            <w:r w:rsidRPr="00D708A1">
              <w:rPr>
                <w:szCs w:val="24"/>
              </w:rPr>
              <w:t>.</w:t>
            </w:r>
          </w:p>
          <w:p w:rsidR="004F076B" w:rsidRPr="00F83BCD" w:rsidRDefault="001478EA" w:rsidP="008E613E">
            <w:pPr>
              <w:pStyle w:val="ListParagraph"/>
              <w:numPr>
                <w:ilvl w:val="0"/>
                <w:numId w:val="12"/>
              </w:numPr>
              <w:spacing w:after="200"/>
              <w:contextualSpacing/>
              <w:rPr>
                <w:szCs w:val="24"/>
              </w:rPr>
            </w:pPr>
            <w:r>
              <w:rPr>
                <w:szCs w:val="24"/>
              </w:rPr>
              <w:t>Communicate to the VSELP unit at DHRM that the deduction has been established so the funds can be released.  In this communication request confirmation that the prior loan amount has been paid off.</w:t>
            </w:r>
          </w:p>
          <w:p w:rsidR="00491CCE" w:rsidRPr="008A7B97" w:rsidRDefault="004F076B" w:rsidP="004F076B">
            <w:pPr>
              <w:pStyle w:val="NormalWeb"/>
              <w:rPr>
                <w:rFonts w:ascii="Times New Roman" w:hAnsi="Times New Roman"/>
                <w:sz w:val="24"/>
                <w:szCs w:val="24"/>
              </w:rPr>
            </w:pPr>
            <w:r w:rsidRPr="004F076B">
              <w:rPr>
                <w:rFonts w:ascii="Times New Roman" w:hAnsi="Times New Roman"/>
                <w:b/>
                <w:sz w:val="24"/>
                <w:szCs w:val="24"/>
              </w:rPr>
              <w:t>Note:</w:t>
            </w:r>
            <w:r>
              <w:rPr>
                <w:rFonts w:ascii="Times New Roman" w:hAnsi="Times New Roman"/>
                <w:sz w:val="24"/>
                <w:szCs w:val="24"/>
              </w:rPr>
              <w:t xml:space="preserve"> Failure to reset the number of payments in positions 6-7 of the Utility field </w:t>
            </w:r>
            <w:r w:rsidR="009A7AC3">
              <w:rPr>
                <w:rFonts w:ascii="Times New Roman" w:hAnsi="Times New Roman"/>
                <w:sz w:val="24"/>
                <w:szCs w:val="24"/>
              </w:rPr>
              <w:t xml:space="preserve">for the new loan </w:t>
            </w:r>
            <w:r>
              <w:rPr>
                <w:rFonts w:ascii="Times New Roman" w:hAnsi="Times New Roman"/>
                <w:sz w:val="24"/>
                <w:szCs w:val="24"/>
              </w:rPr>
              <w:t>will result in CIPPS taking a final deduction amount larger than the intended pay period amount.</w:t>
            </w:r>
            <w:r w:rsidR="00491CCE">
              <w:rPr>
                <w:rFonts w:ascii="Times New Roman" w:hAnsi="Times New Roman"/>
                <w:sz w:val="24"/>
                <w:szCs w:val="24"/>
              </w:rPr>
              <w:t xml:space="preserve"> </w:t>
            </w:r>
          </w:p>
        </w:tc>
      </w:tr>
    </w:tbl>
    <w:p w:rsidR="00004F48" w:rsidRDefault="00286EE5" w:rsidP="00586F4B">
      <w:pPr>
        <w:pStyle w:val="BlockLine"/>
        <w:ind w:left="1530" w:right="18"/>
        <w:jc w:val="right"/>
        <w:rPr>
          <w:i/>
          <w:sz w:val="16"/>
          <w:szCs w:val="16"/>
        </w:rPr>
      </w:pPr>
      <w:r>
        <w:rPr>
          <w:i/>
          <w:sz w:val="16"/>
          <w:szCs w:val="16"/>
        </w:rPr>
        <w:t>Continued on the next page</w:t>
      </w:r>
    </w:p>
    <w:p w:rsidR="004F076B" w:rsidRDefault="004F076B" w:rsidP="004F076B"/>
    <w:p w:rsidR="00286EE5" w:rsidRPr="00AB2032" w:rsidRDefault="00286EE5" w:rsidP="00286EE5">
      <w:pPr>
        <w:rPr>
          <w:b/>
          <w:bCs/>
          <w:sz w:val="28"/>
          <w:szCs w:val="28"/>
        </w:rPr>
      </w:pPr>
      <w:r>
        <w:rPr>
          <w:b/>
          <w:bCs/>
          <w:sz w:val="28"/>
          <w:szCs w:val="28"/>
        </w:rPr>
        <w:t xml:space="preserve">Virginia State Employee Loan Program, </w:t>
      </w:r>
      <w:r w:rsidRPr="00AB5089">
        <w:rPr>
          <w:b/>
          <w:bCs/>
          <w:szCs w:val="24"/>
        </w:rPr>
        <w:t>continued</w:t>
      </w:r>
    </w:p>
    <w:p w:rsidR="00286EE5" w:rsidRDefault="00286EE5" w:rsidP="00286EE5">
      <w:pPr>
        <w:pStyle w:val="BlockLine"/>
        <w:ind w:left="1620"/>
        <w:rPr>
          <w:sz w:val="16"/>
          <w:szCs w:val="16"/>
        </w:rPr>
      </w:pPr>
    </w:p>
    <w:tbl>
      <w:tblPr>
        <w:tblW w:w="9990" w:type="dxa"/>
        <w:tblInd w:w="108" w:type="dxa"/>
        <w:tblLayout w:type="fixed"/>
        <w:tblLook w:val="0000"/>
      </w:tblPr>
      <w:tblGrid>
        <w:gridCol w:w="1620"/>
        <w:gridCol w:w="8370"/>
      </w:tblGrid>
      <w:tr w:rsidR="004F076B" w:rsidTr="00E13102">
        <w:trPr>
          <w:cantSplit/>
        </w:trPr>
        <w:tc>
          <w:tcPr>
            <w:tcW w:w="1620" w:type="dxa"/>
          </w:tcPr>
          <w:p w:rsidR="004F076B" w:rsidRDefault="004F076B" w:rsidP="00E13102">
            <w:pPr>
              <w:pStyle w:val="Heading5"/>
            </w:pPr>
            <w:r>
              <w:t>Lump-Sum Deduction upon Employee Termination</w:t>
            </w:r>
          </w:p>
        </w:tc>
        <w:tc>
          <w:tcPr>
            <w:tcW w:w="8370" w:type="dxa"/>
          </w:tcPr>
          <w:p w:rsidR="004F076B" w:rsidRDefault="004F076B" w:rsidP="00E13102">
            <w:r>
              <w:t>When a terminating employee has an active VSE Loan it is necessary to collect the entire remaining loan balance from the employee’s final regular pay and/or leave payment. A change to the UTILITY field for deduction 158, VACULOAN, is all that is necessary for a one-time lump sum deduction.</w:t>
            </w:r>
          </w:p>
          <w:p w:rsidR="004F076B" w:rsidRDefault="004F076B" w:rsidP="00E13102"/>
          <w:p w:rsidR="004F076B" w:rsidRDefault="004F076B" w:rsidP="00E13102">
            <w:r>
              <w:t xml:space="preserve">Change positions 6 and 7 of the UTILITY to a value of ‘01’. This tells CIPPS that there is one remaining payment for this loan. If the deduction GOAL is greater than the deduction AMT/PCT, CIPPS will deduct that GOAL as a balloon payment. </w:t>
            </w:r>
          </w:p>
          <w:p w:rsidR="004F076B" w:rsidRDefault="004F076B" w:rsidP="00E13102"/>
          <w:p w:rsidR="004F076B" w:rsidRPr="0028144B" w:rsidRDefault="004F076B" w:rsidP="00E13102">
            <w:r>
              <w:t>Note: The balloon payment still requires a sufficient net pay amount to be available.</w:t>
            </w:r>
          </w:p>
        </w:tc>
      </w:tr>
    </w:tbl>
    <w:p w:rsidR="00957000" w:rsidRPr="00586F4B" w:rsidRDefault="00957000" w:rsidP="00586F4B">
      <w:pPr>
        <w:pStyle w:val="BlockLine"/>
        <w:ind w:left="1620"/>
      </w:pPr>
    </w:p>
    <w:p w:rsidR="00641751" w:rsidRPr="00AB2032" w:rsidRDefault="0028144B" w:rsidP="00641751">
      <w:pPr>
        <w:rPr>
          <w:b/>
          <w:bCs/>
          <w:sz w:val="28"/>
          <w:szCs w:val="28"/>
        </w:rPr>
      </w:pPr>
      <w:r>
        <w:rPr>
          <w:b/>
          <w:bCs/>
          <w:sz w:val="28"/>
          <w:szCs w:val="28"/>
        </w:rPr>
        <w:t>Terminated Employees with Child Support</w:t>
      </w:r>
    </w:p>
    <w:p w:rsidR="00641751" w:rsidRPr="00EF4215" w:rsidRDefault="00641751" w:rsidP="00641751">
      <w:pPr>
        <w:pStyle w:val="BlockLine"/>
        <w:ind w:left="1620"/>
        <w:rPr>
          <w:sz w:val="16"/>
          <w:szCs w:val="16"/>
        </w:rPr>
      </w:pPr>
    </w:p>
    <w:tbl>
      <w:tblPr>
        <w:tblW w:w="9990" w:type="dxa"/>
        <w:tblInd w:w="108" w:type="dxa"/>
        <w:tblLayout w:type="fixed"/>
        <w:tblLook w:val="0000"/>
      </w:tblPr>
      <w:tblGrid>
        <w:gridCol w:w="1620"/>
        <w:gridCol w:w="8370"/>
      </w:tblGrid>
      <w:tr w:rsidR="00641751" w:rsidTr="0028144B">
        <w:trPr>
          <w:cantSplit/>
        </w:trPr>
        <w:tc>
          <w:tcPr>
            <w:tcW w:w="1620" w:type="dxa"/>
          </w:tcPr>
          <w:p w:rsidR="00641751" w:rsidRDefault="00641751" w:rsidP="0028144B">
            <w:pPr>
              <w:pStyle w:val="Heading5"/>
            </w:pPr>
            <w:r>
              <w:t xml:space="preserve">Report </w:t>
            </w:r>
            <w:r w:rsidR="00071151">
              <w:t xml:space="preserve">Terminations/Retirements </w:t>
            </w:r>
            <w:r>
              <w:t>to DSS</w:t>
            </w:r>
          </w:p>
        </w:tc>
        <w:tc>
          <w:tcPr>
            <w:tcW w:w="8370" w:type="dxa"/>
          </w:tcPr>
          <w:p w:rsidR="0028144B" w:rsidRPr="000523E1" w:rsidRDefault="000523E1" w:rsidP="00F3541E">
            <w:pPr>
              <w:pStyle w:val="NormalWeb"/>
              <w:shd w:val="clear" w:color="auto" w:fill="FFFFFF"/>
              <w:rPr>
                <w:rFonts w:ascii="Times New Roman" w:hAnsi="Times New Roman"/>
                <w:color w:val="000000"/>
                <w:sz w:val="24"/>
                <w:szCs w:val="24"/>
              </w:rPr>
            </w:pPr>
            <w:r>
              <w:rPr>
                <w:rFonts w:ascii="Times New Roman" w:hAnsi="Times New Roman"/>
                <w:color w:val="000000"/>
                <w:sz w:val="24"/>
                <w:szCs w:val="24"/>
              </w:rPr>
              <w:t>All</w:t>
            </w:r>
            <w:r w:rsidRPr="000523E1">
              <w:rPr>
                <w:rFonts w:ascii="Times New Roman" w:hAnsi="Times New Roman"/>
                <w:color w:val="000000"/>
                <w:sz w:val="24"/>
                <w:szCs w:val="24"/>
              </w:rPr>
              <w:t xml:space="preserve"> employers are required to enforce </w:t>
            </w:r>
            <w:r>
              <w:rPr>
                <w:rFonts w:ascii="Times New Roman" w:hAnsi="Times New Roman"/>
                <w:color w:val="000000"/>
                <w:sz w:val="24"/>
                <w:szCs w:val="24"/>
              </w:rPr>
              <w:t xml:space="preserve">child </w:t>
            </w:r>
            <w:r w:rsidRPr="000523E1">
              <w:rPr>
                <w:rFonts w:ascii="Times New Roman" w:hAnsi="Times New Roman"/>
                <w:color w:val="000000"/>
                <w:sz w:val="24"/>
                <w:szCs w:val="24"/>
              </w:rPr>
              <w:t>support orders</w:t>
            </w:r>
            <w:r>
              <w:rPr>
                <w:rFonts w:ascii="Times New Roman" w:hAnsi="Times New Roman"/>
                <w:color w:val="000000"/>
                <w:sz w:val="24"/>
                <w:szCs w:val="24"/>
              </w:rPr>
              <w:t xml:space="preserve">; therefore, </w:t>
            </w:r>
            <w:r w:rsidRPr="000523E1">
              <w:rPr>
                <w:rFonts w:ascii="Times New Roman" w:hAnsi="Times New Roman"/>
                <w:color w:val="000000"/>
                <w:sz w:val="24"/>
                <w:szCs w:val="24"/>
              </w:rPr>
              <w:t xml:space="preserve">it is important that an employer, in order to relieve itself of this liability, notify the issuing agency if the employee retires or otherwise terminates their employment. The employer should send a copy of the order to the </w:t>
            </w:r>
            <w:r w:rsidR="00F3541E">
              <w:rPr>
                <w:rFonts w:ascii="Times New Roman" w:hAnsi="Times New Roman"/>
                <w:color w:val="000000"/>
                <w:sz w:val="24"/>
                <w:szCs w:val="24"/>
              </w:rPr>
              <w:t xml:space="preserve">issuing </w:t>
            </w:r>
            <w:r w:rsidRPr="000523E1">
              <w:rPr>
                <w:rFonts w:ascii="Times New Roman" w:hAnsi="Times New Roman"/>
                <w:color w:val="000000"/>
                <w:sz w:val="24"/>
                <w:szCs w:val="24"/>
              </w:rPr>
              <w:t>agency and include the company name, employee's name and address, the date of separation from employment, and the new employer or pension administrator's name and address, if known.</w:t>
            </w:r>
          </w:p>
        </w:tc>
      </w:tr>
    </w:tbl>
    <w:p w:rsidR="00641751" w:rsidRDefault="00641751" w:rsidP="00641751">
      <w:pPr>
        <w:pStyle w:val="BlockLine"/>
        <w:ind w:left="1620"/>
      </w:pPr>
    </w:p>
    <w:p w:rsidR="0028144B" w:rsidRPr="009F4ED9" w:rsidRDefault="0028144B" w:rsidP="0028144B">
      <w:pPr>
        <w:pStyle w:val="Heading4"/>
        <w:spacing w:after="0"/>
        <w:rPr>
          <w:rFonts w:ascii="Times New Roman" w:hAnsi="Times New Roman"/>
          <w:b/>
          <w:sz w:val="28"/>
          <w:szCs w:val="28"/>
        </w:rPr>
      </w:pPr>
      <w:r>
        <w:rPr>
          <w:rFonts w:ascii="Times New Roman" w:hAnsi="Times New Roman"/>
          <w:b/>
          <w:sz w:val="28"/>
          <w:szCs w:val="28"/>
        </w:rPr>
        <w:t>Earnings Reclassification with Reciprocal State Taxation</w:t>
      </w:r>
    </w:p>
    <w:p w:rsidR="0028144B" w:rsidRDefault="0028144B" w:rsidP="0028144B">
      <w:pPr>
        <w:pStyle w:val="BlockLine"/>
        <w:ind w:left="1530" w:right="18"/>
        <w:rPr>
          <w:sz w:val="16"/>
          <w:szCs w:val="16"/>
        </w:rPr>
      </w:pPr>
    </w:p>
    <w:tbl>
      <w:tblPr>
        <w:tblW w:w="10188" w:type="dxa"/>
        <w:tblLayout w:type="fixed"/>
        <w:tblLook w:val="0000"/>
      </w:tblPr>
      <w:tblGrid>
        <w:gridCol w:w="1728"/>
        <w:gridCol w:w="8460"/>
      </w:tblGrid>
      <w:tr w:rsidR="0028144B" w:rsidTr="0028144B">
        <w:trPr>
          <w:cantSplit/>
          <w:trHeight w:val="1278"/>
        </w:trPr>
        <w:tc>
          <w:tcPr>
            <w:tcW w:w="1728" w:type="dxa"/>
          </w:tcPr>
          <w:p w:rsidR="0028144B" w:rsidRPr="00014F61" w:rsidRDefault="0028144B" w:rsidP="0028144B">
            <w:pPr>
              <w:rPr>
                <w:b/>
              </w:rPr>
            </w:pPr>
            <w:r>
              <w:rPr>
                <w:b/>
              </w:rPr>
              <w:t>Overview</w:t>
            </w:r>
          </w:p>
        </w:tc>
        <w:tc>
          <w:tcPr>
            <w:tcW w:w="8460" w:type="dxa"/>
          </w:tcPr>
          <w:p w:rsidR="0028144B" w:rsidRPr="00CB0A2D" w:rsidRDefault="00D410EC" w:rsidP="0028144B">
            <w:pPr>
              <w:autoSpaceDE w:val="0"/>
              <w:autoSpaceDN w:val="0"/>
              <w:jc w:val="both"/>
              <w:rPr>
                <w:szCs w:val="24"/>
              </w:rPr>
            </w:pPr>
            <w:r>
              <w:rPr>
                <w:szCs w:val="24"/>
              </w:rPr>
              <w:t>Situations occur where</w:t>
            </w:r>
            <w:r w:rsidR="0028144B" w:rsidRPr="00CB0A2D">
              <w:rPr>
                <w:szCs w:val="24"/>
              </w:rPr>
              <w:t xml:space="preserve"> it is necessary to reclassify regular earnings to another type of earnings or vice versa. In most circumstances, reclassification of earnings may be accomplished by keying an HTPSA in CIPPS. Even in certain situations like Workers’ Compensation, where the adjustment affects taxable wages for FIT, OASDI, HI, and SIT taxes, HTPSA may </w:t>
            </w:r>
            <w:r>
              <w:rPr>
                <w:szCs w:val="24"/>
              </w:rPr>
              <w:t xml:space="preserve">still </w:t>
            </w:r>
            <w:r w:rsidR="0028144B" w:rsidRPr="00CB0A2D">
              <w:rPr>
                <w:szCs w:val="24"/>
              </w:rPr>
              <w:t>be used for employees whose resident state and work state are both Virginia.</w:t>
            </w:r>
          </w:p>
          <w:p w:rsidR="0028144B" w:rsidRPr="00E66C78" w:rsidRDefault="0028144B" w:rsidP="0028144B">
            <w:pPr>
              <w:autoSpaceDE w:val="0"/>
              <w:autoSpaceDN w:val="0"/>
              <w:jc w:val="both"/>
              <w:rPr>
                <w:sz w:val="16"/>
                <w:szCs w:val="16"/>
              </w:rPr>
            </w:pPr>
          </w:p>
          <w:p w:rsidR="0028144B" w:rsidRPr="00CB0A2D" w:rsidRDefault="0028144B" w:rsidP="0028144B">
            <w:pPr>
              <w:autoSpaceDE w:val="0"/>
              <w:autoSpaceDN w:val="0"/>
              <w:jc w:val="both"/>
              <w:rPr>
                <w:szCs w:val="24"/>
              </w:rPr>
            </w:pPr>
            <w:r w:rsidRPr="00CB0A2D">
              <w:rPr>
                <w:szCs w:val="24"/>
              </w:rPr>
              <w:t xml:space="preserve">When state taxation is assigned to the employee’s resident state because of an existing reciprocal agreement between that state and Virginia, the existing process </w:t>
            </w:r>
            <w:r w:rsidR="00D410EC">
              <w:rPr>
                <w:szCs w:val="24"/>
              </w:rPr>
              <w:t xml:space="preserve">has </w:t>
            </w:r>
            <w:r w:rsidRPr="00CB0A2D">
              <w:rPr>
                <w:szCs w:val="24"/>
              </w:rPr>
              <w:t>been incomplete and required outside assistance. To</w:t>
            </w:r>
            <w:r w:rsidR="00D410EC">
              <w:rPr>
                <w:szCs w:val="24"/>
              </w:rPr>
              <w:t xml:space="preserve"> </w:t>
            </w:r>
            <w:r w:rsidRPr="00CB0A2D">
              <w:rPr>
                <w:szCs w:val="24"/>
              </w:rPr>
              <w:t xml:space="preserve">date, this process has been to key the earnings reclassification for Virginia only. At the end of the quarter, agencies would submit to State Payroll Operations an Employee File Adjustment Form, with screen prints of the resident state tax Masterfile. State Payroll Operations personnel would manually update the resident state taxable earnings in CIPPS. </w:t>
            </w:r>
          </w:p>
          <w:p w:rsidR="0028144B" w:rsidRPr="00CB0A2D" w:rsidRDefault="0028144B" w:rsidP="0028144B">
            <w:pPr>
              <w:autoSpaceDE w:val="0"/>
              <w:autoSpaceDN w:val="0"/>
              <w:jc w:val="both"/>
              <w:rPr>
                <w:szCs w:val="24"/>
              </w:rPr>
            </w:pPr>
          </w:p>
          <w:p w:rsidR="0028144B" w:rsidRPr="00CB0A2D" w:rsidRDefault="0028144B" w:rsidP="0028144B">
            <w:pPr>
              <w:jc w:val="both"/>
              <w:rPr>
                <w:szCs w:val="24"/>
              </w:rPr>
            </w:pPr>
            <w:r w:rsidRPr="00CB0A2D">
              <w:rPr>
                <w:szCs w:val="24"/>
              </w:rPr>
              <w:t xml:space="preserve">The Manual Pay Builder in CIPPS, screens HTM00 through HTMCK, provides the only method by which reciprocal state taxable earnings may be adjusted </w:t>
            </w:r>
            <w:r w:rsidR="00D845F7">
              <w:rPr>
                <w:szCs w:val="24"/>
              </w:rPr>
              <w:t xml:space="preserve">correctly </w:t>
            </w:r>
            <w:r w:rsidRPr="00CB0A2D">
              <w:rPr>
                <w:szCs w:val="24"/>
              </w:rPr>
              <w:t>through the system.</w:t>
            </w:r>
          </w:p>
        </w:tc>
      </w:tr>
    </w:tbl>
    <w:p w:rsidR="00633FB7" w:rsidRDefault="00586F4B" w:rsidP="00633FB7">
      <w:pPr>
        <w:pStyle w:val="BlockLine"/>
        <w:ind w:left="1530" w:right="18"/>
        <w:jc w:val="right"/>
        <w:rPr>
          <w:i/>
          <w:sz w:val="16"/>
          <w:szCs w:val="16"/>
        </w:rPr>
      </w:pPr>
      <w:r>
        <w:rPr>
          <w:i/>
          <w:sz w:val="16"/>
          <w:szCs w:val="16"/>
        </w:rPr>
        <w:t>Continued on the next page</w:t>
      </w:r>
    </w:p>
    <w:p w:rsidR="004F076B" w:rsidRDefault="004F076B">
      <w:r>
        <w:br w:type="page"/>
      </w:r>
    </w:p>
    <w:p w:rsidR="00586F4B" w:rsidRPr="009F4ED9" w:rsidRDefault="00586F4B" w:rsidP="00586F4B">
      <w:pPr>
        <w:pStyle w:val="Heading4"/>
        <w:spacing w:after="0"/>
        <w:rPr>
          <w:rFonts w:ascii="Times New Roman" w:hAnsi="Times New Roman"/>
          <w:b/>
          <w:sz w:val="28"/>
          <w:szCs w:val="28"/>
        </w:rPr>
      </w:pPr>
      <w:r>
        <w:rPr>
          <w:rFonts w:ascii="Times New Roman" w:hAnsi="Times New Roman"/>
          <w:b/>
          <w:sz w:val="28"/>
          <w:szCs w:val="28"/>
        </w:rPr>
        <w:t xml:space="preserve">Earnings Reclassification with Reciprocal State Taxation, </w:t>
      </w:r>
      <w:r w:rsidRPr="00AB5089">
        <w:rPr>
          <w:rFonts w:ascii="Times New Roman" w:hAnsi="Times New Roman"/>
          <w:szCs w:val="24"/>
        </w:rPr>
        <w:t>continued</w:t>
      </w:r>
    </w:p>
    <w:p w:rsidR="00586F4B" w:rsidRDefault="00586F4B" w:rsidP="00586F4B">
      <w:pPr>
        <w:pStyle w:val="BlockLine"/>
        <w:ind w:left="1530" w:right="18"/>
        <w:rPr>
          <w:sz w:val="16"/>
          <w:szCs w:val="16"/>
        </w:rPr>
      </w:pPr>
    </w:p>
    <w:tbl>
      <w:tblPr>
        <w:tblW w:w="10188" w:type="dxa"/>
        <w:tblLayout w:type="fixed"/>
        <w:tblLook w:val="0000"/>
      </w:tblPr>
      <w:tblGrid>
        <w:gridCol w:w="1728"/>
        <w:gridCol w:w="8460"/>
      </w:tblGrid>
      <w:tr w:rsidR="00633FB7" w:rsidTr="00633FB7">
        <w:trPr>
          <w:cantSplit/>
          <w:trHeight w:val="1980"/>
        </w:trPr>
        <w:tc>
          <w:tcPr>
            <w:tcW w:w="1728" w:type="dxa"/>
          </w:tcPr>
          <w:p w:rsidR="00633FB7" w:rsidRPr="00014F61" w:rsidRDefault="00633FB7" w:rsidP="00633FB7">
            <w:pPr>
              <w:rPr>
                <w:b/>
              </w:rPr>
            </w:pPr>
            <w:r>
              <w:rPr>
                <w:b/>
              </w:rPr>
              <w:t>Manual Pay Builder</w:t>
            </w:r>
          </w:p>
        </w:tc>
        <w:tc>
          <w:tcPr>
            <w:tcW w:w="8460" w:type="dxa"/>
          </w:tcPr>
          <w:p w:rsidR="00633FB7" w:rsidRPr="00CB0A2D" w:rsidRDefault="00633FB7" w:rsidP="00633FB7">
            <w:pPr>
              <w:rPr>
                <w:szCs w:val="24"/>
              </w:rPr>
            </w:pPr>
            <w:r w:rsidRPr="00CB0A2D">
              <w:rPr>
                <w:szCs w:val="24"/>
              </w:rPr>
              <w:t xml:space="preserve">Keying the Manual Pay Builder begins with the HTM00 screen. The information on HTM00 is the unique identifier for the manual pay. </w:t>
            </w:r>
          </w:p>
          <w:p w:rsidR="00633FB7" w:rsidRPr="00E66C78" w:rsidRDefault="00633FB7" w:rsidP="00633FB7">
            <w:pPr>
              <w:rPr>
                <w:sz w:val="16"/>
                <w:szCs w:val="16"/>
              </w:rPr>
            </w:pPr>
          </w:p>
          <w:p w:rsidR="00633FB7" w:rsidRPr="00CB0A2D" w:rsidRDefault="00633FB7" w:rsidP="00633FB7">
            <w:pPr>
              <w:pStyle w:val="ListParagraph"/>
              <w:numPr>
                <w:ilvl w:val="0"/>
                <w:numId w:val="7"/>
              </w:numPr>
              <w:rPr>
                <w:szCs w:val="24"/>
              </w:rPr>
            </w:pPr>
            <w:r w:rsidRPr="00CB0A2D">
              <w:rPr>
                <w:szCs w:val="24"/>
              </w:rPr>
              <w:t>On HTM00, key these fields: Company, Employee No, Page Number, Check Number, Check Date, Beginning Date, and Ending Date. Put a ‘Y’ in the Y/Q Indicator field. CIPPS will move to the next screen when you press ENTER.</w:t>
            </w:r>
          </w:p>
          <w:p w:rsidR="002B4C24" w:rsidRPr="00CB0A2D" w:rsidRDefault="002B4C24" w:rsidP="002B4C24">
            <w:pPr>
              <w:pStyle w:val="ListParagraph"/>
              <w:numPr>
                <w:ilvl w:val="0"/>
                <w:numId w:val="7"/>
              </w:numPr>
              <w:rPr>
                <w:szCs w:val="24"/>
              </w:rPr>
            </w:pPr>
            <w:r w:rsidRPr="00CB0A2D">
              <w:rPr>
                <w:szCs w:val="24"/>
              </w:rPr>
              <w:t>On HTMPA, key the regular pay to be adjusted.</w:t>
            </w:r>
          </w:p>
          <w:p w:rsidR="002B4C24" w:rsidRPr="00CB0A2D" w:rsidRDefault="002B4C24" w:rsidP="002B4C24">
            <w:pPr>
              <w:pStyle w:val="ListParagraph"/>
              <w:numPr>
                <w:ilvl w:val="0"/>
                <w:numId w:val="7"/>
              </w:numPr>
              <w:rPr>
                <w:szCs w:val="24"/>
              </w:rPr>
            </w:pPr>
            <w:r w:rsidRPr="00CB0A2D">
              <w:rPr>
                <w:szCs w:val="24"/>
              </w:rPr>
              <w:t>On HTMSP, key the special pay to be adjusted.</w:t>
            </w:r>
          </w:p>
          <w:p w:rsidR="002B4C24" w:rsidRDefault="002B4C24" w:rsidP="002B4C24">
            <w:pPr>
              <w:pStyle w:val="ListParagraph"/>
              <w:numPr>
                <w:ilvl w:val="0"/>
                <w:numId w:val="7"/>
              </w:numPr>
              <w:rPr>
                <w:szCs w:val="24"/>
              </w:rPr>
            </w:pPr>
            <w:r w:rsidRPr="00CB0A2D">
              <w:rPr>
                <w:szCs w:val="24"/>
              </w:rPr>
              <w:t>On HTMTD, replace the pre-loaded ST/LOC value (usually ‘470000’) on the first line with the ST/LOC value for the employee’s resident state</w:t>
            </w:r>
            <w:r w:rsidR="00DE63A4">
              <w:rPr>
                <w:szCs w:val="24"/>
              </w:rPr>
              <w:t xml:space="preserve"> &amp; local.</w:t>
            </w:r>
          </w:p>
          <w:p w:rsidR="00CB0A2D" w:rsidRDefault="00CB0A2D" w:rsidP="00CB0A2D">
            <w:pPr>
              <w:pStyle w:val="ListParagraph"/>
              <w:numPr>
                <w:ilvl w:val="0"/>
                <w:numId w:val="7"/>
              </w:numPr>
              <w:rPr>
                <w:szCs w:val="24"/>
              </w:rPr>
            </w:pPr>
            <w:r w:rsidRPr="00CB0A2D">
              <w:rPr>
                <w:szCs w:val="24"/>
              </w:rPr>
              <w:t>Review the Manual Pay Summary on HTMCK to ensure everything balanced</w:t>
            </w:r>
            <w:r>
              <w:rPr>
                <w:szCs w:val="24"/>
              </w:rPr>
              <w:t>.</w:t>
            </w:r>
          </w:p>
          <w:p w:rsidR="002B4C24" w:rsidRDefault="00CB0A2D" w:rsidP="00CB0A2D">
            <w:pPr>
              <w:pStyle w:val="ListParagraph"/>
              <w:numPr>
                <w:ilvl w:val="0"/>
                <w:numId w:val="7"/>
              </w:numPr>
              <w:rPr>
                <w:szCs w:val="24"/>
              </w:rPr>
            </w:pPr>
            <w:r w:rsidRPr="00CB0A2D">
              <w:rPr>
                <w:szCs w:val="24"/>
              </w:rPr>
              <w:t>Press ENTER again to return to the HTM00 screen. Scroll through the Manual Pay Builder screens to review &amp; verify everything shows as entered.</w:t>
            </w:r>
          </w:p>
          <w:p w:rsidR="00DE63A4" w:rsidRDefault="00DE63A4" w:rsidP="00DE63A4">
            <w:pPr>
              <w:rPr>
                <w:szCs w:val="24"/>
              </w:rPr>
            </w:pPr>
          </w:p>
          <w:p w:rsidR="00DE63A4" w:rsidRDefault="00DE63A4" w:rsidP="00DE63A4">
            <w:pPr>
              <w:jc w:val="center"/>
              <w:rPr>
                <w:szCs w:val="24"/>
              </w:rPr>
            </w:pPr>
            <w:r w:rsidRPr="00DE63A4">
              <w:rPr>
                <w:noProof/>
                <w:szCs w:val="24"/>
              </w:rPr>
              <w:drawing>
                <wp:inline distT="0" distB="0" distL="0" distR="0">
                  <wp:extent cx="3949101" cy="2481691"/>
                  <wp:effectExtent l="19050" t="19050" r="13299" b="13859"/>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5972" t="6944" r="3256" b="21779"/>
                          <a:stretch>
                            <a:fillRect/>
                          </a:stretch>
                        </pic:blipFill>
                        <pic:spPr bwMode="auto">
                          <a:xfrm>
                            <a:off x="0" y="0"/>
                            <a:ext cx="3949099" cy="2481690"/>
                          </a:xfrm>
                          <a:prstGeom prst="rect">
                            <a:avLst/>
                          </a:prstGeom>
                          <a:noFill/>
                          <a:ln w="9525">
                            <a:solidFill>
                              <a:schemeClr val="tx1"/>
                            </a:solidFill>
                            <a:miter lim="800000"/>
                            <a:headEnd/>
                            <a:tailEnd/>
                          </a:ln>
                        </pic:spPr>
                      </pic:pic>
                    </a:graphicData>
                  </a:graphic>
                </wp:inline>
              </w:drawing>
            </w:r>
          </w:p>
          <w:p w:rsidR="00DE63A4" w:rsidRPr="00DE63A4" w:rsidRDefault="00DE63A4" w:rsidP="00DE63A4">
            <w:pPr>
              <w:jc w:val="center"/>
              <w:rPr>
                <w:szCs w:val="24"/>
              </w:rPr>
            </w:pPr>
          </w:p>
        </w:tc>
      </w:tr>
    </w:tbl>
    <w:p w:rsidR="00633FB7" w:rsidRPr="00313400" w:rsidRDefault="00633FB7" w:rsidP="00633FB7">
      <w:pPr>
        <w:pStyle w:val="BlockLine"/>
        <w:ind w:left="1530" w:right="18"/>
        <w:jc w:val="right"/>
        <w:rPr>
          <w:i/>
          <w:sz w:val="16"/>
          <w:szCs w:val="16"/>
        </w:rPr>
      </w:pPr>
      <w:r>
        <w:rPr>
          <w:i/>
          <w:sz w:val="16"/>
          <w:szCs w:val="16"/>
        </w:rPr>
        <w:t>Continued on the next page</w:t>
      </w:r>
    </w:p>
    <w:p w:rsidR="0071545D" w:rsidRDefault="0071545D" w:rsidP="00E85B7B">
      <w:pPr>
        <w:rPr>
          <w:b/>
          <w:bCs/>
        </w:rPr>
      </w:pPr>
    </w:p>
    <w:p w:rsidR="002B4C24" w:rsidRDefault="002B4C24" w:rsidP="00E85B7B">
      <w:pPr>
        <w:rPr>
          <w:b/>
          <w:bCs/>
        </w:rPr>
      </w:pPr>
    </w:p>
    <w:p w:rsidR="002B4C24" w:rsidRDefault="002B4C24" w:rsidP="00E85B7B">
      <w:pPr>
        <w:rPr>
          <w:b/>
          <w:bCs/>
        </w:rPr>
      </w:pPr>
    </w:p>
    <w:p w:rsidR="002B4C24" w:rsidRDefault="002B4C24" w:rsidP="00E85B7B">
      <w:pPr>
        <w:rPr>
          <w:b/>
          <w:bCs/>
        </w:rPr>
      </w:pPr>
    </w:p>
    <w:p w:rsidR="002B4C24" w:rsidRDefault="002B4C24" w:rsidP="00E85B7B">
      <w:pPr>
        <w:rPr>
          <w:b/>
          <w:bCs/>
        </w:rPr>
      </w:pPr>
    </w:p>
    <w:p w:rsidR="002B4C24" w:rsidRDefault="002B4C24" w:rsidP="00E85B7B">
      <w:pPr>
        <w:rPr>
          <w:b/>
          <w:bCs/>
        </w:rPr>
      </w:pPr>
    </w:p>
    <w:p w:rsidR="00922904" w:rsidRDefault="00922904">
      <w:pPr>
        <w:rPr>
          <w:b/>
          <w:sz w:val="28"/>
          <w:szCs w:val="28"/>
        </w:rPr>
      </w:pPr>
      <w:r>
        <w:rPr>
          <w:b/>
          <w:sz w:val="28"/>
          <w:szCs w:val="28"/>
        </w:rPr>
        <w:br w:type="page"/>
      </w:r>
    </w:p>
    <w:p w:rsidR="00633FB7" w:rsidRPr="009F4ED9" w:rsidRDefault="00633FB7" w:rsidP="00633FB7">
      <w:pPr>
        <w:pStyle w:val="Heading4"/>
        <w:spacing w:after="0"/>
        <w:rPr>
          <w:rFonts w:ascii="Times New Roman" w:hAnsi="Times New Roman"/>
          <w:b/>
          <w:sz w:val="28"/>
          <w:szCs w:val="28"/>
        </w:rPr>
      </w:pPr>
      <w:r>
        <w:rPr>
          <w:rFonts w:ascii="Times New Roman" w:hAnsi="Times New Roman"/>
          <w:b/>
          <w:sz w:val="28"/>
          <w:szCs w:val="28"/>
        </w:rPr>
        <w:t xml:space="preserve">Earnings Reclassification with Reciprocal State Taxation, </w:t>
      </w:r>
      <w:r w:rsidRPr="00AB5089">
        <w:rPr>
          <w:rFonts w:ascii="Times New Roman" w:hAnsi="Times New Roman"/>
          <w:szCs w:val="24"/>
        </w:rPr>
        <w:t>continued</w:t>
      </w:r>
    </w:p>
    <w:p w:rsidR="00633FB7" w:rsidRDefault="00633FB7" w:rsidP="00633FB7">
      <w:pPr>
        <w:pStyle w:val="BlockLine"/>
        <w:ind w:left="1530" w:right="18"/>
        <w:jc w:val="right"/>
        <w:rPr>
          <w:sz w:val="16"/>
          <w:szCs w:val="16"/>
        </w:rPr>
      </w:pPr>
    </w:p>
    <w:tbl>
      <w:tblPr>
        <w:tblW w:w="10188" w:type="dxa"/>
        <w:tblLayout w:type="fixed"/>
        <w:tblLook w:val="0000"/>
      </w:tblPr>
      <w:tblGrid>
        <w:gridCol w:w="1728"/>
        <w:gridCol w:w="8460"/>
      </w:tblGrid>
      <w:tr w:rsidR="00633FB7" w:rsidTr="00633FB7">
        <w:trPr>
          <w:cantSplit/>
          <w:trHeight w:val="9774"/>
        </w:trPr>
        <w:tc>
          <w:tcPr>
            <w:tcW w:w="1728" w:type="dxa"/>
          </w:tcPr>
          <w:p w:rsidR="00633FB7" w:rsidRPr="00014F61" w:rsidRDefault="00633FB7" w:rsidP="00633FB7">
            <w:pPr>
              <w:rPr>
                <w:b/>
              </w:rPr>
            </w:pPr>
            <w:r>
              <w:rPr>
                <w:b/>
              </w:rPr>
              <w:t>Reviewing the Manual Pay</w:t>
            </w:r>
          </w:p>
        </w:tc>
        <w:tc>
          <w:tcPr>
            <w:tcW w:w="8460" w:type="dxa"/>
          </w:tcPr>
          <w:p w:rsidR="00633FB7" w:rsidRPr="00CB0A2D" w:rsidRDefault="00633FB7" w:rsidP="00633FB7">
            <w:pPr>
              <w:rPr>
                <w:szCs w:val="24"/>
              </w:rPr>
            </w:pPr>
            <w:r w:rsidRPr="00CB0A2D">
              <w:rPr>
                <w:b/>
                <w:szCs w:val="24"/>
              </w:rPr>
              <w:t>PA STATE/LOCAL:</w:t>
            </w:r>
            <w:r w:rsidRPr="00CB0A2D">
              <w:rPr>
                <w:szCs w:val="24"/>
              </w:rPr>
              <w:t xml:space="preserve"> </w:t>
            </w:r>
            <w:r w:rsidR="00707EE9">
              <w:rPr>
                <w:szCs w:val="24"/>
              </w:rPr>
              <w:t>This field is optional. Employers with P</w:t>
            </w:r>
            <w:r w:rsidR="00822994">
              <w:rPr>
                <w:szCs w:val="24"/>
              </w:rPr>
              <w:t>ennsylvania</w:t>
            </w:r>
            <w:r w:rsidR="00707EE9">
              <w:rPr>
                <w:szCs w:val="24"/>
              </w:rPr>
              <w:t xml:space="preserve"> residents may enter the employee’s resident state and local if the employee is subject to PA Act 32 local tax. If no value is entered, the resident state and resident local entered on the H0BAD screen are defaulted into this field when you press Enter.</w:t>
            </w:r>
          </w:p>
          <w:p w:rsidR="002B4C24" w:rsidRDefault="002B4C24" w:rsidP="00633FB7"/>
          <w:p w:rsidR="00633FB7" w:rsidRDefault="00633FB7" w:rsidP="00633FB7">
            <w:pPr>
              <w:jc w:val="center"/>
            </w:pPr>
            <w:r w:rsidRPr="00413102">
              <w:rPr>
                <w:noProof/>
                <w:bdr w:val="single" w:sz="4" w:space="0" w:color="auto"/>
              </w:rPr>
              <w:drawing>
                <wp:inline distT="0" distB="0" distL="0" distR="0">
                  <wp:extent cx="3950208" cy="2800323"/>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6111" t="7986" r="6250" b="14410"/>
                          <a:stretch>
                            <a:fillRect/>
                          </a:stretch>
                        </pic:blipFill>
                        <pic:spPr bwMode="auto">
                          <a:xfrm>
                            <a:off x="0" y="0"/>
                            <a:ext cx="3950208" cy="2800323"/>
                          </a:xfrm>
                          <a:prstGeom prst="rect">
                            <a:avLst/>
                          </a:prstGeom>
                          <a:noFill/>
                          <a:ln w="9525">
                            <a:noFill/>
                            <a:miter lim="800000"/>
                            <a:headEnd/>
                            <a:tailEnd/>
                          </a:ln>
                        </pic:spPr>
                      </pic:pic>
                    </a:graphicData>
                  </a:graphic>
                </wp:inline>
              </w:drawing>
            </w:r>
          </w:p>
          <w:p w:rsidR="00633FB7" w:rsidRPr="00413102" w:rsidRDefault="00633FB7" w:rsidP="00633FB7">
            <w:pPr>
              <w:pStyle w:val="Caption"/>
              <w:keepNext/>
              <w:spacing w:before="40" w:after="0"/>
              <w:jc w:val="center"/>
              <w:rPr>
                <w:color w:val="auto"/>
              </w:rPr>
            </w:pPr>
            <w:r w:rsidRPr="00413102">
              <w:rPr>
                <w:color w:val="auto"/>
              </w:rPr>
              <w:t xml:space="preserve">Figure </w:t>
            </w:r>
            <w:r w:rsidR="00BE3ADC" w:rsidRPr="00413102">
              <w:rPr>
                <w:color w:val="auto"/>
              </w:rPr>
              <w:fldChar w:fldCharType="begin"/>
            </w:r>
            <w:r w:rsidRPr="00413102">
              <w:rPr>
                <w:color w:val="auto"/>
              </w:rPr>
              <w:instrText xml:space="preserve"> SEQ Figure \* ARABIC </w:instrText>
            </w:r>
            <w:r w:rsidR="00BE3ADC" w:rsidRPr="00413102">
              <w:rPr>
                <w:color w:val="auto"/>
              </w:rPr>
              <w:fldChar w:fldCharType="separate"/>
            </w:r>
            <w:r w:rsidR="00707EE9">
              <w:rPr>
                <w:noProof/>
                <w:color w:val="auto"/>
              </w:rPr>
              <w:t>1</w:t>
            </w:r>
            <w:r w:rsidR="00BE3ADC" w:rsidRPr="00413102">
              <w:rPr>
                <w:color w:val="auto"/>
              </w:rPr>
              <w:fldChar w:fldCharType="end"/>
            </w:r>
            <w:r w:rsidRPr="00413102">
              <w:rPr>
                <w:color w:val="auto"/>
              </w:rPr>
              <w:t>: HTM00 after keying</w:t>
            </w:r>
            <w:r>
              <w:rPr>
                <w:color w:val="auto"/>
              </w:rPr>
              <w:t xml:space="preserve"> – MD resident state</w:t>
            </w:r>
          </w:p>
          <w:p w:rsidR="00633FB7" w:rsidRPr="00633FB7" w:rsidRDefault="00633FB7" w:rsidP="00633FB7">
            <w:pPr>
              <w:rPr>
                <w:sz w:val="16"/>
                <w:szCs w:val="16"/>
              </w:rPr>
            </w:pPr>
          </w:p>
          <w:p w:rsidR="00633FB7" w:rsidRPr="00CB0A2D" w:rsidRDefault="00B23549" w:rsidP="00633FB7">
            <w:pPr>
              <w:rPr>
                <w:szCs w:val="24"/>
              </w:rPr>
            </w:pPr>
            <w:r>
              <w:rPr>
                <w:szCs w:val="24"/>
              </w:rPr>
              <w:t>T</w:t>
            </w:r>
            <w:r w:rsidR="00633FB7" w:rsidRPr="00CB0A2D">
              <w:rPr>
                <w:szCs w:val="24"/>
              </w:rPr>
              <w:t xml:space="preserve">he PA STATE/LOCAL value on HTM00 </w:t>
            </w:r>
            <w:r>
              <w:rPr>
                <w:szCs w:val="24"/>
              </w:rPr>
              <w:t xml:space="preserve">should be compared to </w:t>
            </w:r>
            <w:r w:rsidR="00633FB7" w:rsidRPr="00CB0A2D">
              <w:rPr>
                <w:szCs w:val="24"/>
              </w:rPr>
              <w:t xml:space="preserve">the resident state and local </w:t>
            </w:r>
            <w:r>
              <w:rPr>
                <w:szCs w:val="24"/>
              </w:rPr>
              <w:t xml:space="preserve">codes </w:t>
            </w:r>
            <w:r w:rsidR="00633FB7" w:rsidRPr="00CB0A2D">
              <w:rPr>
                <w:szCs w:val="24"/>
              </w:rPr>
              <w:t xml:space="preserve">entered on the HTMTD screen. If there is a discrepancy and the HTMTD is determined to be wrong, correct the HTMTD screen. </w:t>
            </w:r>
          </w:p>
          <w:p w:rsidR="00633FB7" w:rsidRPr="00CB0A2D" w:rsidRDefault="00633FB7" w:rsidP="00633FB7">
            <w:pPr>
              <w:rPr>
                <w:szCs w:val="24"/>
              </w:rPr>
            </w:pPr>
          </w:p>
          <w:p w:rsidR="00633FB7" w:rsidRPr="00CB0A2D" w:rsidRDefault="00B23549" w:rsidP="00633FB7">
            <w:pPr>
              <w:rPr>
                <w:szCs w:val="24"/>
              </w:rPr>
            </w:pPr>
            <w:r>
              <w:rPr>
                <w:szCs w:val="24"/>
              </w:rPr>
              <w:t xml:space="preserve">If </w:t>
            </w:r>
            <w:r w:rsidR="00633FB7" w:rsidRPr="00CB0A2D">
              <w:rPr>
                <w:szCs w:val="24"/>
              </w:rPr>
              <w:t>the resident state and local code entered on HTMTD is correct:</w:t>
            </w:r>
          </w:p>
          <w:p w:rsidR="00633FB7" w:rsidRPr="00CB0A2D" w:rsidRDefault="00633FB7" w:rsidP="002B4C24">
            <w:pPr>
              <w:pStyle w:val="ListParagraph"/>
              <w:numPr>
                <w:ilvl w:val="0"/>
                <w:numId w:val="11"/>
              </w:numPr>
              <w:rPr>
                <w:szCs w:val="24"/>
              </w:rPr>
            </w:pPr>
            <w:r w:rsidRPr="00CB0A2D">
              <w:rPr>
                <w:szCs w:val="24"/>
              </w:rPr>
              <w:t>check that an H0ATX record for that state and local exists;</w:t>
            </w:r>
          </w:p>
          <w:p w:rsidR="00633FB7" w:rsidRPr="00CB0A2D" w:rsidRDefault="00633FB7" w:rsidP="002B4C24">
            <w:pPr>
              <w:pStyle w:val="ListParagraph"/>
              <w:numPr>
                <w:ilvl w:val="0"/>
                <w:numId w:val="11"/>
              </w:numPr>
              <w:rPr>
                <w:szCs w:val="24"/>
              </w:rPr>
            </w:pPr>
            <w:r w:rsidRPr="00CB0A2D">
              <w:rPr>
                <w:szCs w:val="24"/>
              </w:rPr>
              <w:t xml:space="preserve">verify that the </w:t>
            </w:r>
            <w:r w:rsidR="002B4C24" w:rsidRPr="00CB0A2D">
              <w:rPr>
                <w:szCs w:val="24"/>
              </w:rPr>
              <w:t>state status</w:t>
            </w:r>
            <w:r w:rsidRPr="00CB0A2D">
              <w:rPr>
                <w:szCs w:val="24"/>
              </w:rPr>
              <w:t xml:space="preserve"> on H0ATX is correct for both the work state and resident state records; and</w:t>
            </w:r>
          </w:p>
          <w:p w:rsidR="00633FB7" w:rsidRPr="00CB0A2D" w:rsidRDefault="00633FB7" w:rsidP="002B4C24">
            <w:pPr>
              <w:pStyle w:val="ListParagraph"/>
              <w:numPr>
                <w:ilvl w:val="0"/>
                <w:numId w:val="11"/>
              </w:numPr>
              <w:rPr>
                <w:szCs w:val="24"/>
              </w:rPr>
            </w:pPr>
            <w:proofErr w:type="gramStart"/>
            <w:r w:rsidRPr="00CB0A2D">
              <w:rPr>
                <w:szCs w:val="24"/>
              </w:rPr>
              <w:t>verify</w:t>
            </w:r>
            <w:proofErr w:type="gramEnd"/>
            <w:r w:rsidRPr="00CB0A2D">
              <w:rPr>
                <w:szCs w:val="24"/>
              </w:rPr>
              <w:t xml:space="preserve"> that the H0BAD is properly coded for work and resident states.</w:t>
            </w:r>
          </w:p>
          <w:p w:rsidR="00633FB7" w:rsidRPr="00CB0A2D" w:rsidRDefault="00633FB7" w:rsidP="00633FB7">
            <w:pPr>
              <w:ind w:left="360"/>
              <w:rPr>
                <w:szCs w:val="24"/>
              </w:rPr>
            </w:pPr>
          </w:p>
          <w:p w:rsidR="00633FB7" w:rsidRPr="00CB0A2D" w:rsidRDefault="00633FB7" w:rsidP="00633FB7">
            <w:pPr>
              <w:rPr>
                <w:szCs w:val="24"/>
              </w:rPr>
            </w:pPr>
            <w:r w:rsidRPr="00CB0A2D">
              <w:rPr>
                <w:b/>
                <w:szCs w:val="24"/>
              </w:rPr>
              <w:t>Work State on HTMTD:</w:t>
            </w:r>
            <w:r w:rsidRPr="00CB0A2D">
              <w:rPr>
                <w:szCs w:val="24"/>
              </w:rPr>
              <w:t xml:space="preserve"> CIPPS will re-generate a line on HTMTD for the work state. This is correct. </w:t>
            </w:r>
            <w:r w:rsidR="00B23549">
              <w:rPr>
                <w:szCs w:val="24"/>
              </w:rPr>
              <w:t>Th</w:t>
            </w:r>
            <w:r w:rsidRPr="00CB0A2D">
              <w:rPr>
                <w:szCs w:val="24"/>
              </w:rPr>
              <w:t>is transaction</w:t>
            </w:r>
            <w:r w:rsidR="00B23549">
              <w:rPr>
                <w:szCs w:val="24"/>
              </w:rPr>
              <w:t xml:space="preserve"> cannot be deleted</w:t>
            </w:r>
            <w:r w:rsidRPr="00CB0A2D">
              <w:rPr>
                <w:szCs w:val="24"/>
              </w:rPr>
              <w:t>.</w:t>
            </w:r>
          </w:p>
          <w:p w:rsidR="00633FB7" w:rsidRPr="00CB0A2D" w:rsidRDefault="00633FB7" w:rsidP="00633FB7">
            <w:pPr>
              <w:rPr>
                <w:szCs w:val="24"/>
              </w:rPr>
            </w:pPr>
          </w:p>
          <w:p w:rsidR="00633FB7" w:rsidRPr="00D1647B" w:rsidRDefault="002B4C24" w:rsidP="002B4C24">
            <w:r w:rsidRPr="00CB0A2D">
              <w:rPr>
                <w:szCs w:val="24"/>
              </w:rPr>
              <w:t xml:space="preserve">Refer to CAPP Topic 50315, </w:t>
            </w:r>
            <w:r w:rsidRPr="00CB0A2D">
              <w:rPr>
                <w:i/>
                <w:szCs w:val="24"/>
              </w:rPr>
              <w:t>Employee Tax Maintenance</w:t>
            </w:r>
            <w:r w:rsidRPr="00CB0A2D">
              <w:rPr>
                <w:szCs w:val="24"/>
              </w:rPr>
              <w:t xml:space="preserve">, for additional assistance with configuring the employee tax Masterfile. </w:t>
            </w:r>
            <w:r w:rsidR="00633FB7" w:rsidRPr="00CB0A2D">
              <w:rPr>
                <w:szCs w:val="24"/>
              </w:rPr>
              <w:t xml:space="preserve">Contact </w:t>
            </w:r>
            <w:hyperlink r:id="rId10" w:history="1">
              <w:r w:rsidR="00633FB7" w:rsidRPr="00CB0A2D">
                <w:rPr>
                  <w:rStyle w:val="Hyperlink"/>
                  <w:szCs w:val="24"/>
                </w:rPr>
                <w:t>payroll@doa.virginia.gov</w:t>
              </w:r>
            </w:hyperlink>
            <w:r w:rsidR="00633FB7" w:rsidRPr="00CB0A2D">
              <w:rPr>
                <w:szCs w:val="24"/>
              </w:rPr>
              <w:t xml:space="preserve"> if you have questions.</w:t>
            </w:r>
          </w:p>
        </w:tc>
      </w:tr>
    </w:tbl>
    <w:p w:rsidR="002B4C24" w:rsidRDefault="002B4C24" w:rsidP="002B4C24">
      <w:pPr>
        <w:pStyle w:val="BlockLine"/>
        <w:ind w:left="1620"/>
      </w:pPr>
    </w:p>
    <w:p w:rsidR="00633FB7" w:rsidRDefault="00633FB7" w:rsidP="002B4C24">
      <w:pPr>
        <w:rPr>
          <w:b/>
          <w:bCs/>
        </w:rPr>
      </w:pPr>
    </w:p>
    <w:sectPr w:rsidR="00633FB7" w:rsidSect="006229AA">
      <w:headerReference w:type="default" r:id="rId11"/>
      <w:footerReference w:type="default" r:id="rId12"/>
      <w:pgSz w:w="12240" w:h="15840" w:code="1"/>
      <w:pgMar w:top="720" w:right="1152" w:bottom="360" w:left="1152" w:header="28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93" w:rsidRDefault="00D10293">
      <w:r>
        <w:separator/>
      </w:r>
    </w:p>
  </w:endnote>
  <w:endnote w:type="continuationSeparator" w:id="0">
    <w:p w:rsidR="00D10293" w:rsidRDefault="00D10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04F48" w:rsidRDefault="00004F48" w:rsidP="006229AA">
        <w:pPr>
          <w:pStyle w:val="Footer"/>
          <w:pBdr>
            <w:top w:val="single" w:sz="6" w:space="0" w:color="auto"/>
          </w:pBdr>
          <w:tabs>
            <w:tab w:val="clear" w:pos="4320"/>
            <w:tab w:val="clear" w:pos="8640"/>
            <w:tab w:val="left" w:pos="5940"/>
          </w:tabs>
          <w:ind w:right="-414"/>
          <w:jc w:val="center"/>
          <w:rPr>
            <w:rStyle w:val="PageNumber"/>
          </w:rPr>
        </w:pPr>
        <w:r>
          <w:rPr>
            <w:rStyle w:val="PageNumber"/>
            <w:snapToGrid w:val="0"/>
            <w:sz w:val="22"/>
          </w:rPr>
          <w:t xml:space="preserve">Page </w:t>
        </w:r>
        <w:r w:rsidR="00BE3ADC">
          <w:rPr>
            <w:rStyle w:val="PageNumber"/>
          </w:rPr>
          <w:fldChar w:fldCharType="begin"/>
        </w:r>
        <w:r>
          <w:rPr>
            <w:rStyle w:val="PageNumber"/>
          </w:rPr>
          <w:instrText xml:space="preserve"> PAGE </w:instrText>
        </w:r>
        <w:r w:rsidR="00BE3ADC">
          <w:rPr>
            <w:rStyle w:val="PageNumber"/>
          </w:rPr>
          <w:fldChar w:fldCharType="separate"/>
        </w:r>
        <w:r w:rsidR="00522CFE">
          <w:rPr>
            <w:rStyle w:val="PageNumber"/>
            <w:noProof/>
          </w:rPr>
          <w:t>2</w:t>
        </w:r>
        <w:r w:rsidR="00BE3ADC">
          <w:rPr>
            <w:rStyle w:val="PageNumber"/>
          </w:rPr>
          <w:fldChar w:fldCharType="end"/>
        </w:r>
        <w:r>
          <w:rPr>
            <w:rStyle w:val="PageNumber"/>
            <w:snapToGrid w:val="0"/>
            <w:sz w:val="22"/>
          </w:rPr>
          <w:t xml:space="preserve"> of </w:t>
        </w:r>
        <w:r w:rsidR="00BE3ADC">
          <w:rPr>
            <w:rStyle w:val="PageNumber"/>
          </w:rPr>
          <w:fldChar w:fldCharType="begin"/>
        </w:r>
        <w:r>
          <w:rPr>
            <w:rStyle w:val="PageNumber"/>
          </w:rPr>
          <w:instrText xml:space="preserve"> NUMPAGES </w:instrText>
        </w:r>
        <w:r w:rsidR="00BE3ADC">
          <w:rPr>
            <w:rStyle w:val="PageNumber"/>
          </w:rPr>
          <w:fldChar w:fldCharType="separate"/>
        </w:r>
        <w:r w:rsidR="00522CFE">
          <w:rPr>
            <w:rStyle w:val="PageNumber"/>
            <w:noProof/>
          </w:rPr>
          <w:t>5</w:t>
        </w:r>
        <w:r w:rsidR="00BE3ADC">
          <w:rPr>
            <w:rStyle w:val="PageNumber"/>
          </w:rPr>
          <w:fldChar w:fldCharType="end"/>
        </w:r>
      </w:p>
      <w:p w:rsidR="00004F48" w:rsidRDefault="00004F48" w:rsidP="006229AA">
        <w:pPr>
          <w:pStyle w:val="Footer"/>
          <w:pBdr>
            <w:top w:val="single" w:sz="6" w:space="0" w:color="auto"/>
          </w:pBdr>
          <w:tabs>
            <w:tab w:val="clear" w:pos="4320"/>
            <w:tab w:val="clear" w:pos="8640"/>
            <w:tab w:val="left" w:pos="5940"/>
          </w:tabs>
          <w:ind w:right="-414"/>
          <w:jc w:val="center"/>
          <w:rPr>
            <w:rStyle w:val="PageNumber"/>
            <w:snapToGrid w:val="0"/>
            <w:sz w:val="22"/>
          </w:rPr>
        </w:pPr>
      </w:p>
      <w:p w:rsidR="00004F48" w:rsidRDefault="00BE3ADC" w:rsidP="006229AA">
        <w:pPr>
          <w:pStyle w:val="Footer"/>
          <w:pBdr>
            <w:top w:val="single" w:sz="6" w:space="0" w:color="auto"/>
          </w:pBdr>
          <w:tabs>
            <w:tab w:val="clear" w:pos="4320"/>
            <w:tab w:val="clear" w:pos="8640"/>
            <w:tab w:val="left" w:pos="5940"/>
          </w:tabs>
          <w:ind w:right="-414"/>
          <w:jc w:val="center"/>
          <w:rPr>
            <w:i/>
            <w:snapToGrid w:val="0"/>
            <w:sz w:val="22"/>
          </w:rPr>
        </w:pPr>
        <w:hyperlink r:id="rId1" w:history="1">
          <w:r w:rsidR="00004F48" w:rsidRPr="00195F9D">
            <w:rPr>
              <w:rStyle w:val="Hyperlink"/>
              <w:i/>
              <w:snapToGrid w:val="0"/>
              <w:sz w:val="22"/>
            </w:rPr>
            <w:t>http://www.doa.virginia.gov/procedures/Payroll/PayrollBulletins/payroll.htm</w:t>
          </w:r>
        </w:hyperlink>
      </w:p>
      <w:p w:rsidR="00004F48" w:rsidRPr="00AB6684" w:rsidRDefault="00BE3ADC" w:rsidP="006229AA">
        <w:pPr>
          <w:pStyle w:val="Footer"/>
          <w:pBdr>
            <w:top w:val="single" w:sz="6" w:space="0" w:color="auto"/>
          </w:pBdr>
          <w:tabs>
            <w:tab w:val="clear" w:pos="4320"/>
            <w:tab w:val="clear" w:pos="8640"/>
            <w:tab w:val="left" w:pos="5940"/>
          </w:tabs>
          <w:ind w:right="-414"/>
          <w:jc w:val="center"/>
          <w:rPr>
            <w:i/>
            <w:snapToGrid w:val="0"/>
            <w:sz w:val="22"/>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93" w:rsidRDefault="00D10293">
      <w:r>
        <w:separator/>
      </w:r>
    </w:p>
  </w:footnote>
  <w:footnote w:type="continuationSeparator" w:id="0">
    <w:p w:rsidR="00D10293" w:rsidRDefault="00D1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8" w:rsidRDefault="00004F48" w:rsidP="0022524D">
    <w:pPr>
      <w:pStyle w:val="Header"/>
      <w:jc w:val="center"/>
      <w:rPr>
        <w:sz w:val="16"/>
      </w:rPr>
    </w:pPr>
  </w:p>
  <w:tbl>
    <w:tblPr>
      <w:tblW w:w="10188" w:type="dxa"/>
      <w:tblLayout w:type="fixed"/>
      <w:tblLook w:val="0000"/>
    </w:tblPr>
    <w:tblGrid>
      <w:gridCol w:w="3366"/>
      <w:gridCol w:w="3366"/>
      <w:gridCol w:w="3456"/>
    </w:tblGrid>
    <w:tr w:rsidR="00004F48" w:rsidTr="00883FF0">
      <w:trPr>
        <w:cantSplit/>
      </w:trPr>
      <w:tc>
        <w:tcPr>
          <w:tcW w:w="3366" w:type="dxa"/>
          <w:tcBorders>
            <w:bottom w:val="double" w:sz="6" w:space="0" w:color="auto"/>
          </w:tcBorders>
        </w:tcPr>
        <w:p w:rsidR="00004F48" w:rsidRDefault="00004F48" w:rsidP="00883FF0">
          <w:pPr>
            <w:pStyle w:val="Header"/>
            <w:rPr>
              <w:b/>
              <w:sz w:val="20"/>
            </w:rPr>
          </w:pPr>
          <w:r>
            <w:rPr>
              <w:b/>
              <w:sz w:val="20"/>
            </w:rPr>
            <w:t>Calendar Year 2014</w:t>
          </w:r>
        </w:p>
      </w:tc>
      <w:tc>
        <w:tcPr>
          <w:tcW w:w="3366" w:type="dxa"/>
          <w:tcBorders>
            <w:bottom w:val="double" w:sz="6" w:space="0" w:color="auto"/>
          </w:tcBorders>
        </w:tcPr>
        <w:p w:rsidR="00004F48" w:rsidRDefault="004C30CC" w:rsidP="001C36AB">
          <w:pPr>
            <w:pStyle w:val="Header"/>
            <w:jc w:val="center"/>
            <w:rPr>
              <w:b/>
              <w:sz w:val="20"/>
            </w:rPr>
          </w:pPr>
          <w:r>
            <w:rPr>
              <w:b/>
              <w:sz w:val="20"/>
            </w:rPr>
            <w:t xml:space="preserve">December </w:t>
          </w:r>
          <w:r w:rsidR="001C36AB">
            <w:rPr>
              <w:b/>
              <w:sz w:val="20"/>
            </w:rPr>
            <w:t>4</w:t>
          </w:r>
          <w:r w:rsidR="00004F48">
            <w:rPr>
              <w:b/>
              <w:sz w:val="20"/>
            </w:rPr>
            <w:t>, 2014</w:t>
          </w:r>
        </w:p>
      </w:tc>
      <w:tc>
        <w:tcPr>
          <w:tcW w:w="3456" w:type="dxa"/>
          <w:tcBorders>
            <w:bottom w:val="double" w:sz="6" w:space="0" w:color="auto"/>
          </w:tcBorders>
        </w:tcPr>
        <w:p w:rsidR="00004F48" w:rsidRDefault="00004F48" w:rsidP="00883FF0">
          <w:pPr>
            <w:pStyle w:val="Header"/>
            <w:jc w:val="right"/>
            <w:rPr>
              <w:b/>
              <w:sz w:val="20"/>
            </w:rPr>
          </w:pPr>
          <w:r>
            <w:rPr>
              <w:b/>
              <w:sz w:val="20"/>
            </w:rPr>
            <w:t>Volume 2014-16</w:t>
          </w:r>
        </w:p>
      </w:tc>
    </w:tr>
  </w:tbl>
  <w:p w:rsidR="00004F48" w:rsidRDefault="00004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685176"/>
    <w:multiLevelType w:val="hybridMultilevel"/>
    <w:tmpl w:val="CB6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F5A2F"/>
    <w:multiLevelType w:val="hybridMultilevel"/>
    <w:tmpl w:val="1118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E0BD4"/>
    <w:multiLevelType w:val="hybridMultilevel"/>
    <w:tmpl w:val="711A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334F1"/>
    <w:multiLevelType w:val="hybridMultilevel"/>
    <w:tmpl w:val="83AE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332550"/>
    <w:multiLevelType w:val="hybridMultilevel"/>
    <w:tmpl w:val="E320C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0829"/>
    <w:multiLevelType w:val="hybridMultilevel"/>
    <w:tmpl w:val="73DC3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B46E8"/>
    <w:multiLevelType w:val="hybridMultilevel"/>
    <w:tmpl w:val="E6F00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2"/>
  </w:num>
  <w:num w:numId="2">
    <w:abstractNumId w:val="6"/>
  </w:num>
  <w:num w:numId="3">
    <w:abstractNumId w:val="0"/>
  </w:num>
  <w:num w:numId="4">
    <w:abstractNumId w:val="7"/>
  </w:num>
  <w:num w:numId="5">
    <w:abstractNumId w:val="4"/>
  </w:num>
  <w:num w:numId="6">
    <w:abstractNumId w:val="8"/>
  </w:num>
  <w:num w:numId="7">
    <w:abstractNumId w:val="5"/>
  </w:num>
  <w:num w:numId="8">
    <w:abstractNumId w:val="2"/>
  </w:num>
  <w:num w:numId="9">
    <w:abstractNumId w:val="3"/>
  </w:num>
  <w:num w:numId="10">
    <w:abstractNumId w:val="1"/>
  </w:num>
  <w:num w:numId="11">
    <w:abstractNumId w:val="10"/>
  </w:num>
  <w:num w:numId="12">
    <w:abstractNumId w:val="9"/>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0D0C78"/>
    <w:rsid w:val="00004F48"/>
    <w:rsid w:val="00022128"/>
    <w:rsid w:val="000229A0"/>
    <w:rsid w:val="00043BD6"/>
    <w:rsid w:val="000523E1"/>
    <w:rsid w:val="00063836"/>
    <w:rsid w:val="00071151"/>
    <w:rsid w:val="0007530F"/>
    <w:rsid w:val="00092932"/>
    <w:rsid w:val="000A3E0D"/>
    <w:rsid w:val="000B3548"/>
    <w:rsid w:val="000C5EC5"/>
    <w:rsid w:val="000D0C78"/>
    <w:rsid w:val="000E78C4"/>
    <w:rsid w:val="000F5021"/>
    <w:rsid w:val="0010004E"/>
    <w:rsid w:val="001478EA"/>
    <w:rsid w:val="00151C52"/>
    <w:rsid w:val="001606F6"/>
    <w:rsid w:val="001834DC"/>
    <w:rsid w:val="00192D99"/>
    <w:rsid w:val="001C36AB"/>
    <w:rsid w:val="001D79E3"/>
    <w:rsid w:val="001E07BF"/>
    <w:rsid w:val="001E791F"/>
    <w:rsid w:val="002004BF"/>
    <w:rsid w:val="002066C6"/>
    <w:rsid w:val="00224F21"/>
    <w:rsid w:val="0022524D"/>
    <w:rsid w:val="0028144B"/>
    <w:rsid w:val="00286EE5"/>
    <w:rsid w:val="002A7E06"/>
    <w:rsid w:val="002B4C24"/>
    <w:rsid w:val="002B6B60"/>
    <w:rsid w:val="002C679F"/>
    <w:rsid w:val="002D27FC"/>
    <w:rsid w:val="002E0032"/>
    <w:rsid w:val="002E4A29"/>
    <w:rsid w:val="0030589E"/>
    <w:rsid w:val="0031126D"/>
    <w:rsid w:val="00326F85"/>
    <w:rsid w:val="00333FFF"/>
    <w:rsid w:val="00336D87"/>
    <w:rsid w:val="00363289"/>
    <w:rsid w:val="00370D8A"/>
    <w:rsid w:val="003A1E02"/>
    <w:rsid w:val="003B09C4"/>
    <w:rsid w:val="003B54DA"/>
    <w:rsid w:val="003D27B3"/>
    <w:rsid w:val="003D6CB6"/>
    <w:rsid w:val="003E210F"/>
    <w:rsid w:val="003E3ABB"/>
    <w:rsid w:val="003E65BF"/>
    <w:rsid w:val="003E6672"/>
    <w:rsid w:val="003E6C32"/>
    <w:rsid w:val="003F00F4"/>
    <w:rsid w:val="003F3595"/>
    <w:rsid w:val="00402E35"/>
    <w:rsid w:val="00411D64"/>
    <w:rsid w:val="00491CCE"/>
    <w:rsid w:val="004A0213"/>
    <w:rsid w:val="004A1959"/>
    <w:rsid w:val="004C16A5"/>
    <w:rsid w:val="004C30CC"/>
    <w:rsid w:val="004F076B"/>
    <w:rsid w:val="00522CFE"/>
    <w:rsid w:val="00545EED"/>
    <w:rsid w:val="005464B5"/>
    <w:rsid w:val="0056085F"/>
    <w:rsid w:val="00562410"/>
    <w:rsid w:val="00562AD7"/>
    <w:rsid w:val="005668A2"/>
    <w:rsid w:val="00573015"/>
    <w:rsid w:val="00574539"/>
    <w:rsid w:val="005759A7"/>
    <w:rsid w:val="00586F4B"/>
    <w:rsid w:val="005928FC"/>
    <w:rsid w:val="005A2EF4"/>
    <w:rsid w:val="005A7200"/>
    <w:rsid w:val="005C1612"/>
    <w:rsid w:val="005C6AD2"/>
    <w:rsid w:val="00605949"/>
    <w:rsid w:val="006229AA"/>
    <w:rsid w:val="00631D01"/>
    <w:rsid w:val="00633FB7"/>
    <w:rsid w:val="006402AC"/>
    <w:rsid w:val="00641751"/>
    <w:rsid w:val="00663266"/>
    <w:rsid w:val="00667C93"/>
    <w:rsid w:val="00670630"/>
    <w:rsid w:val="0067449B"/>
    <w:rsid w:val="00687297"/>
    <w:rsid w:val="00690402"/>
    <w:rsid w:val="006C3D85"/>
    <w:rsid w:val="006D0179"/>
    <w:rsid w:val="006E39C8"/>
    <w:rsid w:val="00700615"/>
    <w:rsid w:val="00707EE9"/>
    <w:rsid w:val="00713C0F"/>
    <w:rsid w:val="0071545D"/>
    <w:rsid w:val="00750385"/>
    <w:rsid w:val="00763A54"/>
    <w:rsid w:val="007750D1"/>
    <w:rsid w:val="00795E38"/>
    <w:rsid w:val="007C13DE"/>
    <w:rsid w:val="007E3540"/>
    <w:rsid w:val="007E70AD"/>
    <w:rsid w:val="007F1613"/>
    <w:rsid w:val="00801B20"/>
    <w:rsid w:val="00813664"/>
    <w:rsid w:val="008208E6"/>
    <w:rsid w:val="00822994"/>
    <w:rsid w:val="00851781"/>
    <w:rsid w:val="00855440"/>
    <w:rsid w:val="008605E3"/>
    <w:rsid w:val="00866135"/>
    <w:rsid w:val="00883FF0"/>
    <w:rsid w:val="008869DA"/>
    <w:rsid w:val="00890D32"/>
    <w:rsid w:val="008A0C0D"/>
    <w:rsid w:val="008A7B97"/>
    <w:rsid w:val="008B0913"/>
    <w:rsid w:val="008D453C"/>
    <w:rsid w:val="008D5791"/>
    <w:rsid w:val="008E613E"/>
    <w:rsid w:val="008E75C6"/>
    <w:rsid w:val="008E79A4"/>
    <w:rsid w:val="008F116C"/>
    <w:rsid w:val="008F7BB9"/>
    <w:rsid w:val="0090246C"/>
    <w:rsid w:val="0090442D"/>
    <w:rsid w:val="00906909"/>
    <w:rsid w:val="00907D28"/>
    <w:rsid w:val="00922904"/>
    <w:rsid w:val="00946683"/>
    <w:rsid w:val="00957000"/>
    <w:rsid w:val="0097229C"/>
    <w:rsid w:val="00983A1E"/>
    <w:rsid w:val="0099065A"/>
    <w:rsid w:val="0099094A"/>
    <w:rsid w:val="00993D57"/>
    <w:rsid w:val="009A1ED1"/>
    <w:rsid w:val="009A7AC3"/>
    <w:rsid w:val="009B44AD"/>
    <w:rsid w:val="009F17A2"/>
    <w:rsid w:val="009F7CC0"/>
    <w:rsid w:val="00A00E05"/>
    <w:rsid w:val="00A15C47"/>
    <w:rsid w:val="00A161CB"/>
    <w:rsid w:val="00A34630"/>
    <w:rsid w:val="00A3637D"/>
    <w:rsid w:val="00A438C3"/>
    <w:rsid w:val="00A652B4"/>
    <w:rsid w:val="00A66B9C"/>
    <w:rsid w:val="00A94B4A"/>
    <w:rsid w:val="00AB148F"/>
    <w:rsid w:val="00AB2032"/>
    <w:rsid w:val="00AB5089"/>
    <w:rsid w:val="00AC02B0"/>
    <w:rsid w:val="00AC20DF"/>
    <w:rsid w:val="00B027AD"/>
    <w:rsid w:val="00B23549"/>
    <w:rsid w:val="00B377F5"/>
    <w:rsid w:val="00B37C23"/>
    <w:rsid w:val="00B40842"/>
    <w:rsid w:val="00B437F3"/>
    <w:rsid w:val="00B532BA"/>
    <w:rsid w:val="00B84CB0"/>
    <w:rsid w:val="00B87D23"/>
    <w:rsid w:val="00B9388D"/>
    <w:rsid w:val="00BA0A2C"/>
    <w:rsid w:val="00BA2F1B"/>
    <w:rsid w:val="00BB16E4"/>
    <w:rsid w:val="00BC7496"/>
    <w:rsid w:val="00BD5FF0"/>
    <w:rsid w:val="00BE3ADC"/>
    <w:rsid w:val="00BF068C"/>
    <w:rsid w:val="00C11B29"/>
    <w:rsid w:val="00C12718"/>
    <w:rsid w:val="00C21996"/>
    <w:rsid w:val="00C3692E"/>
    <w:rsid w:val="00C5471B"/>
    <w:rsid w:val="00C63DA8"/>
    <w:rsid w:val="00C724CB"/>
    <w:rsid w:val="00C74456"/>
    <w:rsid w:val="00C753A7"/>
    <w:rsid w:val="00CB0A2D"/>
    <w:rsid w:val="00CB0FD2"/>
    <w:rsid w:val="00CE2BF4"/>
    <w:rsid w:val="00CE5E54"/>
    <w:rsid w:val="00CF4479"/>
    <w:rsid w:val="00CF5444"/>
    <w:rsid w:val="00D10293"/>
    <w:rsid w:val="00D23F49"/>
    <w:rsid w:val="00D355DD"/>
    <w:rsid w:val="00D36665"/>
    <w:rsid w:val="00D410EC"/>
    <w:rsid w:val="00D708A1"/>
    <w:rsid w:val="00D814ED"/>
    <w:rsid w:val="00D845F7"/>
    <w:rsid w:val="00D91CF8"/>
    <w:rsid w:val="00D93B92"/>
    <w:rsid w:val="00D96E2A"/>
    <w:rsid w:val="00DA1375"/>
    <w:rsid w:val="00DB63E4"/>
    <w:rsid w:val="00DD1147"/>
    <w:rsid w:val="00DD1A6E"/>
    <w:rsid w:val="00DD79E1"/>
    <w:rsid w:val="00DE63A4"/>
    <w:rsid w:val="00E0182D"/>
    <w:rsid w:val="00E02938"/>
    <w:rsid w:val="00E03297"/>
    <w:rsid w:val="00E14218"/>
    <w:rsid w:val="00E240DA"/>
    <w:rsid w:val="00E278AD"/>
    <w:rsid w:val="00E339D7"/>
    <w:rsid w:val="00E46605"/>
    <w:rsid w:val="00E66C78"/>
    <w:rsid w:val="00E8444C"/>
    <w:rsid w:val="00E85B7B"/>
    <w:rsid w:val="00E87A3D"/>
    <w:rsid w:val="00EE28DF"/>
    <w:rsid w:val="00EF4215"/>
    <w:rsid w:val="00F17B9E"/>
    <w:rsid w:val="00F3320E"/>
    <w:rsid w:val="00F3541E"/>
    <w:rsid w:val="00F43DB3"/>
    <w:rsid w:val="00F60958"/>
    <w:rsid w:val="00F83BCD"/>
    <w:rsid w:val="00F95DA3"/>
    <w:rsid w:val="00FA65B1"/>
    <w:rsid w:val="00FC03B1"/>
    <w:rsid w:val="00FC5FA7"/>
    <w:rsid w:val="00FC71E5"/>
    <w:rsid w:val="00FD0E6C"/>
    <w:rsid w:val="00FD1575"/>
    <w:rsid w:val="00FD5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E1"/>
    <w:rPr>
      <w:sz w:val="24"/>
    </w:rPr>
  </w:style>
  <w:style w:type="paragraph" w:styleId="Heading1">
    <w:name w:val="heading 1"/>
    <w:aliases w:val="Part"/>
    <w:basedOn w:val="Normal"/>
    <w:next w:val="Heading2"/>
    <w:qFormat/>
    <w:rsid w:val="00DD79E1"/>
    <w:pPr>
      <w:spacing w:after="240"/>
      <w:jc w:val="center"/>
      <w:outlineLvl w:val="0"/>
    </w:pPr>
    <w:rPr>
      <w:rFonts w:ascii="Arial" w:hAnsi="Arial"/>
      <w:b/>
      <w:sz w:val="32"/>
    </w:rPr>
  </w:style>
  <w:style w:type="paragraph" w:styleId="Heading2">
    <w:name w:val="heading 2"/>
    <w:aliases w:val="Chapter Title"/>
    <w:basedOn w:val="Normal"/>
    <w:next w:val="Heading4"/>
    <w:qFormat/>
    <w:rsid w:val="00DD79E1"/>
    <w:pPr>
      <w:spacing w:after="240"/>
      <w:jc w:val="center"/>
      <w:outlineLvl w:val="1"/>
    </w:pPr>
    <w:rPr>
      <w:rFonts w:ascii="Arial" w:hAnsi="Arial"/>
      <w:b/>
      <w:sz w:val="32"/>
    </w:rPr>
  </w:style>
  <w:style w:type="paragraph" w:styleId="Heading3">
    <w:name w:val="heading 3"/>
    <w:aliases w:val="Section"/>
    <w:basedOn w:val="Normal"/>
    <w:next w:val="Heading4"/>
    <w:qFormat/>
    <w:rsid w:val="00DD79E1"/>
    <w:pPr>
      <w:spacing w:after="240"/>
      <w:jc w:val="center"/>
      <w:outlineLvl w:val="2"/>
    </w:pPr>
    <w:rPr>
      <w:rFonts w:ascii="Arial" w:hAnsi="Arial"/>
      <w:b/>
      <w:sz w:val="32"/>
    </w:rPr>
  </w:style>
  <w:style w:type="paragraph" w:styleId="Heading4">
    <w:name w:val="heading 4"/>
    <w:aliases w:val="Map Title"/>
    <w:basedOn w:val="Normal"/>
    <w:next w:val="Normal"/>
    <w:qFormat/>
    <w:rsid w:val="00DD79E1"/>
    <w:pPr>
      <w:spacing w:after="240"/>
      <w:outlineLvl w:val="3"/>
    </w:pPr>
    <w:rPr>
      <w:rFonts w:ascii="Arial" w:hAnsi="Arial"/>
    </w:rPr>
  </w:style>
  <w:style w:type="paragraph" w:styleId="Heading5">
    <w:name w:val="heading 5"/>
    <w:aliases w:val="Block Label"/>
    <w:basedOn w:val="Normal"/>
    <w:next w:val="Normal"/>
    <w:qFormat/>
    <w:rsid w:val="00DD79E1"/>
    <w:pPr>
      <w:outlineLvl w:val="4"/>
    </w:pPr>
    <w:rPr>
      <w:b/>
      <w:sz w:val="22"/>
    </w:rPr>
  </w:style>
  <w:style w:type="paragraph" w:styleId="Heading6">
    <w:name w:val="heading 6"/>
    <w:basedOn w:val="Normal"/>
    <w:next w:val="Normal"/>
    <w:qFormat/>
    <w:rsid w:val="00DD79E1"/>
    <w:pPr>
      <w:spacing w:before="240" w:after="60"/>
      <w:outlineLvl w:val="5"/>
    </w:pPr>
    <w:rPr>
      <w:i/>
      <w:sz w:val="22"/>
    </w:rPr>
  </w:style>
  <w:style w:type="paragraph" w:styleId="Heading7">
    <w:name w:val="heading 7"/>
    <w:basedOn w:val="Normal"/>
    <w:next w:val="Normal"/>
    <w:qFormat/>
    <w:rsid w:val="00DD79E1"/>
    <w:pPr>
      <w:spacing w:before="240" w:after="60"/>
      <w:outlineLvl w:val="6"/>
    </w:pPr>
    <w:rPr>
      <w:rFonts w:ascii="Arial" w:hAnsi="Arial"/>
      <w:sz w:val="20"/>
    </w:rPr>
  </w:style>
  <w:style w:type="paragraph" w:styleId="Heading8">
    <w:name w:val="heading 8"/>
    <w:basedOn w:val="Normal"/>
    <w:next w:val="Normal"/>
    <w:qFormat/>
    <w:rsid w:val="00DD79E1"/>
    <w:pPr>
      <w:spacing w:before="240" w:after="60"/>
      <w:outlineLvl w:val="7"/>
    </w:pPr>
    <w:rPr>
      <w:rFonts w:ascii="Arial" w:hAnsi="Arial"/>
      <w:i/>
      <w:sz w:val="20"/>
    </w:rPr>
  </w:style>
  <w:style w:type="paragraph" w:styleId="Heading9">
    <w:name w:val="heading 9"/>
    <w:basedOn w:val="Normal"/>
    <w:next w:val="Normal"/>
    <w:qFormat/>
    <w:rsid w:val="00DD79E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9E1"/>
    <w:pPr>
      <w:tabs>
        <w:tab w:val="center" w:pos="4320"/>
        <w:tab w:val="right" w:pos="8640"/>
      </w:tabs>
    </w:pPr>
  </w:style>
  <w:style w:type="paragraph" w:styleId="MacroText">
    <w:name w:val="macro"/>
    <w:semiHidden/>
    <w:rsid w:val="00DD79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D79E1"/>
    <w:pPr>
      <w:pBdr>
        <w:top w:val="single" w:sz="6" w:space="1" w:color="auto"/>
        <w:between w:val="single" w:sz="6" w:space="1" w:color="auto"/>
      </w:pBdr>
      <w:spacing w:before="240"/>
      <w:ind w:left="1700"/>
    </w:pPr>
  </w:style>
  <w:style w:type="paragraph" w:styleId="BlockText">
    <w:name w:val="Block Text"/>
    <w:basedOn w:val="Normal"/>
    <w:rsid w:val="00DD79E1"/>
  </w:style>
  <w:style w:type="paragraph" w:customStyle="1" w:styleId="BulletText1">
    <w:name w:val="Bullet Text 1"/>
    <w:basedOn w:val="Normal"/>
    <w:rsid w:val="00DD79E1"/>
    <w:pPr>
      <w:ind w:left="187" w:hanging="187"/>
    </w:pPr>
  </w:style>
  <w:style w:type="paragraph" w:customStyle="1" w:styleId="BulletText2">
    <w:name w:val="Bullet Text 2"/>
    <w:basedOn w:val="BulletText1"/>
    <w:rsid w:val="00DD79E1"/>
    <w:pPr>
      <w:ind w:left="360"/>
    </w:pPr>
  </w:style>
  <w:style w:type="paragraph" w:customStyle="1" w:styleId="ContinuedOnNextPa">
    <w:name w:val="Continued On Next Pa"/>
    <w:basedOn w:val="Normal"/>
    <w:next w:val="Normal"/>
    <w:rsid w:val="00DD79E1"/>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D79E1"/>
    <w:rPr>
      <w:b/>
      <w:sz w:val="22"/>
    </w:rPr>
  </w:style>
  <w:style w:type="paragraph" w:customStyle="1" w:styleId="MapTitleContinued">
    <w:name w:val="Map Title. Continued"/>
    <w:basedOn w:val="Normal"/>
    <w:rsid w:val="00DD79E1"/>
    <w:pPr>
      <w:spacing w:after="240"/>
    </w:pPr>
    <w:rPr>
      <w:rFonts w:ascii="Helvetica" w:hAnsi="Helvetica"/>
      <w:b/>
      <w:sz w:val="32"/>
    </w:rPr>
  </w:style>
  <w:style w:type="paragraph" w:customStyle="1" w:styleId="MemoLine">
    <w:name w:val="Memo Line"/>
    <w:basedOn w:val="BlockLine"/>
    <w:next w:val="Normal"/>
    <w:rsid w:val="00DD79E1"/>
    <w:pPr>
      <w:ind w:left="0"/>
    </w:pPr>
  </w:style>
  <w:style w:type="paragraph" w:styleId="Footer">
    <w:name w:val="footer"/>
    <w:basedOn w:val="Normal"/>
    <w:link w:val="FooterChar"/>
    <w:rsid w:val="00DD79E1"/>
    <w:pPr>
      <w:tabs>
        <w:tab w:val="center" w:pos="4320"/>
        <w:tab w:val="right" w:pos="8640"/>
      </w:tabs>
    </w:pPr>
  </w:style>
  <w:style w:type="character" w:styleId="PageNumber">
    <w:name w:val="page number"/>
    <w:basedOn w:val="DefaultParagraphFont"/>
    <w:rsid w:val="00DD79E1"/>
  </w:style>
  <w:style w:type="paragraph" w:customStyle="1" w:styleId="TableText">
    <w:name w:val="Table Text"/>
    <w:basedOn w:val="Normal"/>
    <w:rsid w:val="00DD79E1"/>
  </w:style>
  <w:style w:type="paragraph" w:customStyle="1" w:styleId="NoteText">
    <w:name w:val="Note Text"/>
    <w:basedOn w:val="BlockText"/>
    <w:rsid w:val="00DD79E1"/>
  </w:style>
  <w:style w:type="paragraph" w:customStyle="1" w:styleId="TableHeaderText">
    <w:name w:val="Table Header Text"/>
    <w:basedOn w:val="TableText"/>
    <w:rsid w:val="00DD79E1"/>
    <w:pPr>
      <w:jc w:val="center"/>
    </w:pPr>
    <w:rPr>
      <w:b/>
    </w:rPr>
  </w:style>
  <w:style w:type="paragraph" w:customStyle="1" w:styleId="EmbeddedText">
    <w:name w:val="Embedded Text"/>
    <w:basedOn w:val="TableText"/>
    <w:rsid w:val="00DD79E1"/>
  </w:style>
  <w:style w:type="paragraph" w:styleId="TOC1">
    <w:name w:val="toc 1"/>
    <w:basedOn w:val="Normal"/>
    <w:next w:val="Normal"/>
    <w:semiHidden/>
    <w:rsid w:val="00DD79E1"/>
    <w:pPr>
      <w:tabs>
        <w:tab w:val="right" w:leader="dot" w:pos="10800"/>
      </w:tabs>
    </w:pPr>
  </w:style>
  <w:style w:type="paragraph" w:styleId="TOC2">
    <w:name w:val="toc 2"/>
    <w:basedOn w:val="Normal"/>
    <w:next w:val="Normal"/>
    <w:semiHidden/>
    <w:rsid w:val="00DD79E1"/>
    <w:pPr>
      <w:tabs>
        <w:tab w:val="right" w:leader="dot" w:pos="10800"/>
      </w:tabs>
      <w:ind w:left="240"/>
    </w:pPr>
  </w:style>
  <w:style w:type="paragraph" w:styleId="BodyText3">
    <w:name w:val="Body Text 3"/>
    <w:basedOn w:val="Normal"/>
    <w:rsid w:val="00DD79E1"/>
    <w:rPr>
      <w:b/>
      <w:sz w:val="18"/>
    </w:rPr>
  </w:style>
  <w:style w:type="paragraph" w:styleId="BodyText2">
    <w:name w:val="Body Text 2"/>
    <w:basedOn w:val="Normal"/>
    <w:rsid w:val="00DD79E1"/>
    <w:rPr>
      <w:b/>
      <w:sz w:val="16"/>
    </w:rPr>
  </w:style>
  <w:style w:type="paragraph" w:styleId="Title">
    <w:name w:val="Title"/>
    <w:basedOn w:val="Normal"/>
    <w:qFormat/>
    <w:rsid w:val="00DD79E1"/>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D79E1"/>
    <w:rPr>
      <w:color w:val="0000FF"/>
      <w:u w:val="single"/>
    </w:rPr>
  </w:style>
  <w:style w:type="paragraph" w:customStyle="1" w:styleId="Extmemo">
    <w:name w:val="Extmemo"/>
    <w:basedOn w:val="Normal"/>
    <w:rsid w:val="00DD79E1"/>
    <w:pPr>
      <w:spacing w:line="240" w:lineRule="exact"/>
    </w:pPr>
    <w:rPr>
      <w:rFonts w:ascii="Times" w:hAnsi="Times"/>
    </w:rPr>
  </w:style>
  <w:style w:type="paragraph" w:styleId="PlainText">
    <w:name w:val="Plain Text"/>
    <w:basedOn w:val="Normal"/>
    <w:rsid w:val="00DD79E1"/>
    <w:rPr>
      <w:rFonts w:ascii="Courier New" w:hAnsi="Courier New"/>
      <w:sz w:val="20"/>
    </w:rPr>
  </w:style>
  <w:style w:type="character" w:styleId="FollowedHyperlink">
    <w:name w:val="FollowedHyperlink"/>
    <w:basedOn w:val="DefaultParagraphFont"/>
    <w:rsid w:val="00DD79E1"/>
    <w:rPr>
      <w:color w:val="800080"/>
      <w:u w:val="single"/>
    </w:rPr>
  </w:style>
  <w:style w:type="paragraph" w:styleId="DocumentMap">
    <w:name w:val="Document Map"/>
    <w:basedOn w:val="Normal"/>
    <w:semiHidden/>
    <w:rsid w:val="00DD79E1"/>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styleId="ListParagraph">
    <w:name w:val="List Paragraph"/>
    <w:basedOn w:val="Normal"/>
    <w:uiPriority w:val="34"/>
    <w:qFormat/>
    <w:rsid w:val="00633FB7"/>
    <w:pPr>
      <w:ind w:left="720"/>
    </w:pPr>
  </w:style>
  <w:style w:type="paragraph" w:styleId="Caption">
    <w:name w:val="caption"/>
    <w:basedOn w:val="Normal"/>
    <w:next w:val="Normal"/>
    <w:unhideWhenUsed/>
    <w:qFormat/>
    <w:rsid w:val="00633FB7"/>
    <w:pPr>
      <w:spacing w:after="200"/>
    </w:pPr>
    <w:rPr>
      <w:b/>
      <w:bCs/>
      <w:color w:val="4F81BD" w:themeColor="accent1"/>
      <w:sz w:val="18"/>
      <w:szCs w:val="18"/>
    </w:rPr>
  </w:style>
  <w:style w:type="character" w:customStyle="1" w:styleId="FooterChar">
    <w:name w:val="Footer Char"/>
    <w:basedOn w:val="DefaultParagraphFont"/>
    <w:link w:val="Footer"/>
    <w:rsid w:val="006229AA"/>
    <w:rPr>
      <w:sz w:val="24"/>
    </w:rPr>
  </w:style>
</w:styles>
</file>

<file path=word/webSettings.xml><?xml version="1.0" encoding="utf-8"?>
<w:webSettings xmlns:r="http://schemas.openxmlformats.org/officeDocument/2006/relationships" xmlns:w="http://schemas.openxmlformats.org/wordprocessingml/2006/main">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792021459">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648392026">
      <w:bodyDiv w:val="1"/>
      <w:marLeft w:val="0"/>
      <w:marRight w:val="0"/>
      <w:marTop w:val="0"/>
      <w:marBottom w:val="0"/>
      <w:divBdr>
        <w:top w:val="none" w:sz="0" w:space="0" w:color="auto"/>
        <w:left w:val="none" w:sz="0" w:space="0" w:color="auto"/>
        <w:bottom w:val="none" w:sz="0" w:space="0" w:color="auto"/>
        <w:right w:val="none" w:sz="0" w:space="0" w:color="auto"/>
      </w:divBdr>
      <w:divsChild>
        <w:div w:id="209416629">
          <w:marLeft w:val="0"/>
          <w:marRight w:val="0"/>
          <w:marTop w:val="0"/>
          <w:marBottom w:val="0"/>
          <w:divBdr>
            <w:top w:val="none" w:sz="0" w:space="0" w:color="auto"/>
            <w:left w:val="none" w:sz="0" w:space="0" w:color="auto"/>
            <w:bottom w:val="none" w:sz="0" w:space="0" w:color="auto"/>
            <w:right w:val="none" w:sz="0" w:space="0" w:color="auto"/>
          </w:divBdr>
        </w:div>
      </w:divsChild>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yroll@doa.virginia.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rocedures/Payroll/PayrollBulletins/payrol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220</TotalTime>
  <Pages>1</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9300</CharactersWithSpaces>
  <SharedDoc>false</SharedDoc>
  <HLinks>
    <vt:vector size="12" baseType="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2014-16</dc:title>
  <dc:subject>Payroll Bulletin 2014-16</dc:subject>
  <dc:creator>Virginia Department of Accounts</dc:creator>
  <cp:keywords>Payroll Bulletin 2014-16</cp:keywords>
  <dc:description>Payroll Bulletin 2014-16</dc:description>
  <cp:lastModifiedBy>McGill</cp:lastModifiedBy>
  <cp:revision>71</cp:revision>
  <cp:lastPrinted>2014-12-01T16:14:00Z</cp:lastPrinted>
  <dcterms:created xsi:type="dcterms:W3CDTF">2014-11-19T14:14:00Z</dcterms:created>
  <dcterms:modified xsi:type="dcterms:W3CDTF">2014-12-04T17:58:00Z</dcterms:modified>
  <cp:category>Payroll Bulletin 2014-16</cp:category>
</cp:coreProperties>
</file>