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211" w:rsidRDefault="00B20211" w:rsidP="00B20211">
      <w:pPr>
        <w:pStyle w:val="Header"/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ind w:right="36"/>
        <w:jc w:val="center"/>
        <w:rPr>
          <w:b/>
          <w:i/>
          <w:sz w:val="36"/>
        </w:rPr>
      </w:pPr>
      <w:r>
        <w:rPr>
          <w:b/>
          <w:i/>
          <w:sz w:val="36"/>
        </w:rPr>
        <w:t>Department of Accounts</w:t>
      </w:r>
    </w:p>
    <w:p w:rsidR="00B20211" w:rsidRDefault="00B20211" w:rsidP="00B20211">
      <w:pPr>
        <w:pStyle w:val="Header"/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ind w:right="36"/>
        <w:jc w:val="center"/>
        <w:rPr>
          <w:b/>
          <w:i/>
          <w:sz w:val="36"/>
        </w:rPr>
      </w:pPr>
      <w:r>
        <w:rPr>
          <w:b/>
          <w:i/>
          <w:sz w:val="36"/>
        </w:rPr>
        <w:t>Payroll Bulletin</w:t>
      </w:r>
    </w:p>
    <w:p w:rsidR="00B20211" w:rsidRDefault="00B20211" w:rsidP="00B20211">
      <w:pPr>
        <w:pStyle w:val="Header"/>
        <w:jc w:val="center"/>
        <w:rPr>
          <w:sz w:val="16"/>
        </w:rPr>
      </w:pPr>
    </w:p>
    <w:tbl>
      <w:tblPr>
        <w:tblW w:w="0" w:type="auto"/>
        <w:tblInd w:w="18" w:type="dxa"/>
        <w:tblLayout w:type="fixed"/>
        <w:tblLook w:val="0000"/>
      </w:tblPr>
      <w:tblGrid>
        <w:gridCol w:w="3348"/>
        <w:gridCol w:w="3366"/>
        <w:gridCol w:w="3366"/>
      </w:tblGrid>
      <w:tr w:rsidR="00B20211" w:rsidTr="007F51A7">
        <w:trPr>
          <w:cantSplit/>
        </w:trPr>
        <w:tc>
          <w:tcPr>
            <w:tcW w:w="3348" w:type="dxa"/>
            <w:tcBorders>
              <w:bottom w:val="double" w:sz="6" w:space="0" w:color="auto"/>
            </w:tcBorders>
          </w:tcPr>
          <w:p w:rsidR="00B20211" w:rsidRDefault="00B20211" w:rsidP="00E834E5">
            <w:pPr>
              <w:pStyle w:val="Header"/>
              <w:rPr>
                <w:b/>
                <w:sz w:val="20"/>
              </w:rPr>
            </w:pPr>
            <w:r>
              <w:rPr>
                <w:b/>
                <w:sz w:val="20"/>
              </w:rPr>
              <w:t>Calendar Year 20</w:t>
            </w:r>
            <w:r w:rsidR="00A4564F">
              <w:rPr>
                <w:b/>
                <w:sz w:val="20"/>
              </w:rPr>
              <w:t>1</w:t>
            </w:r>
            <w:r w:rsidR="00360170">
              <w:rPr>
                <w:b/>
                <w:sz w:val="20"/>
              </w:rPr>
              <w:t>5</w:t>
            </w:r>
          </w:p>
        </w:tc>
        <w:tc>
          <w:tcPr>
            <w:tcW w:w="3366" w:type="dxa"/>
            <w:tcBorders>
              <w:bottom w:val="double" w:sz="6" w:space="0" w:color="auto"/>
            </w:tcBorders>
          </w:tcPr>
          <w:p w:rsidR="00B20211" w:rsidRDefault="00442174" w:rsidP="00996AF5">
            <w:pPr>
              <w:pStyle w:val="Header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April </w:t>
            </w:r>
            <w:r w:rsidR="00996AF5">
              <w:rPr>
                <w:b/>
                <w:sz w:val="20"/>
              </w:rPr>
              <w:t>20</w:t>
            </w:r>
            <w:r w:rsidR="00360170">
              <w:rPr>
                <w:b/>
                <w:sz w:val="20"/>
              </w:rPr>
              <w:t>, 2015</w:t>
            </w:r>
          </w:p>
        </w:tc>
        <w:tc>
          <w:tcPr>
            <w:tcW w:w="3366" w:type="dxa"/>
            <w:tcBorders>
              <w:bottom w:val="double" w:sz="6" w:space="0" w:color="auto"/>
            </w:tcBorders>
          </w:tcPr>
          <w:p w:rsidR="00B20211" w:rsidRDefault="00B20211" w:rsidP="00996AF5">
            <w:pPr>
              <w:pStyle w:val="Header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Volume 20</w:t>
            </w:r>
            <w:r w:rsidR="00A4564F">
              <w:rPr>
                <w:b/>
                <w:sz w:val="20"/>
              </w:rPr>
              <w:t>1</w:t>
            </w:r>
            <w:r w:rsidR="00360170">
              <w:rPr>
                <w:b/>
                <w:sz w:val="20"/>
              </w:rPr>
              <w:t>5-</w:t>
            </w:r>
            <w:r w:rsidR="00996AF5">
              <w:rPr>
                <w:b/>
                <w:sz w:val="20"/>
              </w:rPr>
              <w:t>04</w:t>
            </w:r>
          </w:p>
        </w:tc>
      </w:tr>
    </w:tbl>
    <w:p w:rsidR="00B20211" w:rsidRDefault="00B20211" w:rsidP="00B20211">
      <w:pPr>
        <w:tabs>
          <w:tab w:val="left" w:pos="990"/>
        </w:tabs>
        <w:jc w:val="center"/>
      </w:pPr>
    </w:p>
    <w:tbl>
      <w:tblPr>
        <w:tblW w:w="0" w:type="auto"/>
        <w:tblLook w:val="01E0"/>
      </w:tblPr>
      <w:tblGrid>
        <w:gridCol w:w="2245"/>
        <w:gridCol w:w="4112"/>
        <w:gridCol w:w="3795"/>
      </w:tblGrid>
      <w:tr w:rsidR="00B20211" w:rsidTr="007F3A59">
        <w:tc>
          <w:tcPr>
            <w:tcW w:w="2245" w:type="dxa"/>
          </w:tcPr>
          <w:p w:rsidR="00B20211" w:rsidRPr="00E00C7E" w:rsidRDefault="00B20211" w:rsidP="00612422">
            <w:pPr>
              <w:tabs>
                <w:tab w:val="left" w:pos="990"/>
              </w:tabs>
              <w:spacing w:before="120"/>
              <w:rPr>
                <w:i/>
                <w:sz w:val="28"/>
                <w:szCs w:val="28"/>
              </w:rPr>
            </w:pPr>
            <w:r w:rsidRPr="00E00C7E">
              <w:rPr>
                <w:i/>
                <w:sz w:val="28"/>
                <w:szCs w:val="28"/>
              </w:rPr>
              <w:t>In This Issue of the Payroll Bulletin…....</w:t>
            </w:r>
          </w:p>
          <w:p w:rsidR="00B20211" w:rsidRPr="00612422" w:rsidRDefault="00B20211" w:rsidP="00612422">
            <w:pPr>
              <w:spacing w:before="120"/>
              <w:rPr>
                <w:b/>
              </w:rPr>
            </w:pPr>
          </w:p>
        </w:tc>
        <w:tc>
          <w:tcPr>
            <w:tcW w:w="4112" w:type="dxa"/>
          </w:tcPr>
          <w:p w:rsidR="0017296B" w:rsidRDefault="00AF3823" w:rsidP="0017296B">
            <w:pPr>
              <w:numPr>
                <w:ilvl w:val="0"/>
                <w:numId w:val="2"/>
              </w:numPr>
              <w:tabs>
                <w:tab w:val="left" w:pos="990"/>
              </w:tabs>
              <w:spacing w:before="60"/>
              <w:ind w:left="547"/>
              <w:rPr>
                <w:sz w:val="28"/>
                <w:szCs w:val="28"/>
              </w:rPr>
            </w:pPr>
            <w:r>
              <w:rPr>
                <w:szCs w:val="24"/>
              </w:rPr>
              <w:t>Roth 403(b) Annuity Option</w:t>
            </w:r>
          </w:p>
          <w:p w:rsidR="0017296B" w:rsidRPr="0017296B" w:rsidRDefault="00442174" w:rsidP="0017296B">
            <w:pPr>
              <w:numPr>
                <w:ilvl w:val="0"/>
                <w:numId w:val="2"/>
              </w:numPr>
              <w:tabs>
                <w:tab w:val="left" w:pos="990"/>
              </w:tabs>
              <w:spacing w:before="60"/>
              <w:ind w:left="547"/>
              <w:rPr>
                <w:szCs w:val="24"/>
              </w:rPr>
            </w:pPr>
            <w:r>
              <w:rPr>
                <w:szCs w:val="24"/>
              </w:rPr>
              <w:t>Supplemental Insurance Fee</w:t>
            </w:r>
          </w:p>
          <w:p w:rsidR="00E00C7E" w:rsidRPr="00F85231" w:rsidRDefault="00F85231" w:rsidP="00F85231">
            <w:pPr>
              <w:tabs>
                <w:tab w:val="left" w:pos="26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3795" w:type="dxa"/>
          </w:tcPr>
          <w:p w:rsidR="00B20211" w:rsidRPr="00612422" w:rsidRDefault="00B20211" w:rsidP="00612422">
            <w:pPr>
              <w:tabs>
                <w:tab w:val="left" w:pos="990"/>
              </w:tabs>
              <w:spacing w:before="120"/>
              <w:rPr>
                <w:sz w:val="20"/>
              </w:rPr>
            </w:pPr>
            <w:r w:rsidRPr="00612422">
              <w:rPr>
                <w:sz w:val="20"/>
              </w:rPr>
              <w:t xml:space="preserve">The Payroll Bulletin is published periodically to provide CIPPS agencies guidance regarding Commonwealth payroll operations.  If you have any questions about the bulletin, please call Cathy McGill at (804) 371-7800 or Email at </w:t>
            </w:r>
            <w:hyperlink r:id="rId8" w:history="1">
              <w:r w:rsidRPr="00612422">
                <w:rPr>
                  <w:rStyle w:val="Hyperlink"/>
                  <w:sz w:val="20"/>
                </w:rPr>
                <w:t>cathy.mcgill@doa.virginia.gov</w:t>
              </w:r>
            </w:hyperlink>
          </w:p>
          <w:p w:rsidR="00B20211" w:rsidRPr="00612422" w:rsidRDefault="00B20211" w:rsidP="00612422">
            <w:pPr>
              <w:tabs>
                <w:tab w:val="left" w:pos="990"/>
              </w:tabs>
              <w:spacing w:before="120"/>
              <w:jc w:val="both"/>
              <w:rPr>
                <w:sz w:val="20"/>
                <w:u w:val="single"/>
              </w:rPr>
            </w:pPr>
            <w:r w:rsidRPr="00612422">
              <w:rPr>
                <w:sz w:val="20"/>
                <w:u w:val="single"/>
              </w:rPr>
              <w:t>State Payroll Operations</w:t>
            </w:r>
          </w:p>
          <w:p w:rsidR="00B20211" w:rsidRPr="00612422" w:rsidRDefault="00B20211" w:rsidP="00612422">
            <w:pPr>
              <w:tabs>
                <w:tab w:val="left" w:pos="990"/>
              </w:tabs>
              <w:spacing w:before="120"/>
              <w:rPr>
                <w:sz w:val="20"/>
              </w:rPr>
            </w:pPr>
            <w:r w:rsidRPr="00612422">
              <w:rPr>
                <w:b/>
                <w:sz w:val="20"/>
              </w:rPr>
              <w:t>Director                         Lora L. George</w:t>
            </w:r>
          </w:p>
          <w:p w:rsidR="00B20211" w:rsidRPr="00612422" w:rsidRDefault="00B20211" w:rsidP="00612422">
            <w:pPr>
              <w:tabs>
                <w:tab w:val="left" w:pos="990"/>
              </w:tabs>
              <w:spacing w:before="120"/>
              <w:rPr>
                <w:szCs w:val="24"/>
              </w:rPr>
            </w:pPr>
            <w:r w:rsidRPr="00612422">
              <w:rPr>
                <w:sz w:val="20"/>
              </w:rPr>
              <w:t>Assistant Director          Cathy C. McGill</w:t>
            </w:r>
          </w:p>
        </w:tc>
      </w:tr>
    </w:tbl>
    <w:p w:rsidR="00756442" w:rsidRPr="00C50FDD" w:rsidRDefault="00756442" w:rsidP="00756442">
      <w:pPr>
        <w:pStyle w:val="BlockLine"/>
        <w:spacing w:before="120"/>
        <w:ind w:left="1620"/>
        <w:rPr>
          <w:sz w:val="16"/>
          <w:szCs w:val="16"/>
        </w:rPr>
      </w:pPr>
    </w:p>
    <w:p w:rsidR="0074416A" w:rsidRPr="003A7585" w:rsidRDefault="00AF3823" w:rsidP="003A7585">
      <w:pPr>
        <w:pStyle w:val="Heading4"/>
        <w:spacing w:after="0"/>
        <w:rPr>
          <w:rFonts w:ascii="Times New Roman" w:hAnsi="Times New Roman"/>
          <w:b/>
          <w:sz w:val="28"/>
          <w:szCs w:val="28"/>
        </w:rPr>
      </w:pPr>
      <w:bookmarkStart w:id="0" w:name="_Toc401048300"/>
      <w:r>
        <w:rPr>
          <w:rFonts w:ascii="Times New Roman" w:hAnsi="Times New Roman"/>
          <w:b/>
          <w:sz w:val="28"/>
          <w:szCs w:val="28"/>
        </w:rPr>
        <w:t>Roth 403(b) Annuity Option</w:t>
      </w:r>
    </w:p>
    <w:bookmarkEnd w:id="0"/>
    <w:p w:rsidR="003A7585" w:rsidRDefault="003A7585" w:rsidP="003A7585">
      <w:pPr>
        <w:pStyle w:val="BlockLine"/>
        <w:spacing w:before="120"/>
        <w:ind w:left="1627"/>
        <w:rPr>
          <w:sz w:val="16"/>
          <w:szCs w:val="16"/>
        </w:rPr>
      </w:pPr>
    </w:p>
    <w:tbl>
      <w:tblPr>
        <w:tblW w:w="10170" w:type="dxa"/>
        <w:tblInd w:w="18" w:type="dxa"/>
        <w:tblLayout w:type="fixed"/>
        <w:tblLook w:val="0000"/>
      </w:tblPr>
      <w:tblGrid>
        <w:gridCol w:w="1440"/>
        <w:gridCol w:w="8730"/>
      </w:tblGrid>
      <w:tr w:rsidR="0074416A" w:rsidTr="007F3A59">
        <w:trPr>
          <w:cantSplit/>
          <w:trHeight w:val="1040"/>
        </w:trPr>
        <w:tc>
          <w:tcPr>
            <w:tcW w:w="1440" w:type="dxa"/>
          </w:tcPr>
          <w:p w:rsidR="0074416A" w:rsidRPr="006065D5" w:rsidRDefault="00813866" w:rsidP="007E5815">
            <w:pPr>
              <w:pStyle w:val="Heading5"/>
              <w:rPr>
                <w:sz w:val="20"/>
              </w:rPr>
            </w:pPr>
            <w:r w:rsidRPr="00813866">
              <w:rPr>
                <w:szCs w:val="22"/>
              </w:rPr>
              <w:t>Overview</w:t>
            </w:r>
          </w:p>
        </w:tc>
        <w:tc>
          <w:tcPr>
            <w:tcW w:w="8730" w:type="dxa"/>
          </w:tcPr>
          <w:p w:rsidR="006065D5" w:rsidRDefault="006D6877" w:rsidP="006065D5">
            <w:pPr>
              <w:pStyle w:val="ListParagraph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</w:t>
            </w:r>
            <w:r w:rsidR="00CB1F7A">
              <w:rPr>
                <w:rFonts w:ascii="Times New Roman" w:eastAsia="Times New Roman" w:hAnsi="Times New Roman"/>
                <w:sz w:val="24"/>
                <w:szCs w:val="24"/>
              </w:rPr>
              <w:t xml:space="preserve">mployees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in qualifying positions at higher educational institutions or qualifying education agencies are </w:t>
            </w:r>
            <w:r w:rsidR="00CB1F7A">
              <w:rPr>
                <w:rFonts w:ascii="Times New Roman" w:eastAsia="Times New Roman" w:hAnsi="Times New Roman"/>
                <w:sz w:val="24"/>
                <w:szCs w:val="24"/>
              </w:rPr>
              <w:t>currently eligible to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make </w:t>
            </w:r>
            <w:r w:rsidR="006F7118">
              <w:rPr>
                <w:rFonts w:ascii="Times New Roman" w:eastAsia="Times New Roman" w:hAnsi="Times New Roman"/>
                <w:sz w:val="24"/>
                <w:szCs w:val="24"/>
              </w:rPr>
              <w:t xml:space="preserve">tax-sheltered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contributions</w:t>
            </w:r>
            <w:r w:rsidR="006F7118">
              <w:rPr>
                <w:rFonts w:ascii="Times New Roman" w:eastAsia="Times New Roman" w:hAnsi="Times New Roman"/>
                <w:sz w:val="24"/>
                <w:szCs w:val="24"/>
              </w:rPr>
              <w:t xml:space="preserve"> through payroll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to </w:t>
            </w:r>
            <w:r w:rsidR="00632AFF">
              <w:rPr>
                <w:rFonts w:ascii="Times New Roman" w:eastAsia="Times New Roman" w:hAnsi="Times New Roman"/>
                <w:sz w:val="24"/>
                <w:szCs w:val="24"/>
              </w:rPr>
              <w:t>§</w:t>
            </w:r>
            <w:r w:rsidR="006F7118">
              <w:rPr>
                <w:rFonts w:ascii="Times New Roman" w:eastAsia="Times New Roman" w:hAnsi="Times New Roman"/>
                <w:sz w:val="24"/>
                <w:szCs w:val="24"/>
              </w:rPr>
              <w:t xml:space="preserve">403(b)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annuities</w:t>
            </w:r>
            <w:r w:rsidR="006F7118">
              <w:rPr>
                <w:rFonts w:ascii="Times New Roman" w:eastAsia="Times New Roman" w:hAnsi="Times New Roman"/>
                <w:sz w:val="24"/>
                <w:szCs w:val="24"/>
              </w:rPr>
              <w:t xml:space="preserve"> as defined in the employing agency’s Plan Document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="007F3A59">
              <w:rPr>
                <w:rFonts w:ascii="Times New Roman" w:eastAsia="Times New Roman" w:hAnsi="Times New Roman"/>
                <w:sz w:val="24"/>
                <w:szCs w:val="24"/>
              </w:rPr>
              <w:t>Effective</w:t>
            </w:r>
            <w:r w:rsidR="007F3A59" w:rsidRPr="007F3A59">
              <w:rPr>
                <w:rFonts w:ascii="Times New Roman" w:eastAsia="Times New Roman" w:hAnsi="Times New Roman"/>
                <w:sz w:val="24"/>
                <w:szCs w:val="24"/>
              </w:rPr>
              <w:t xml:space="preserve"> July 1, 2015, eligible employees may also elect to make contributions to a Roth </w:t>
            </w:r>
            <w:r w:rsidR="00632AFF">
              <w:rPr>
                <w:rFonts w:ascii="Times New Roman" w:eastAsia="Times New Roman" w:hAnsi="Times New Roman"/>
                <w:sz w:val="24"/>
                <w:szCs w:val="24"/>
              </w:rPr>
              <w:t>§</w:t>
            </w:r>
            <w:r w:rsidR="006F7118">
              <w:rPr>
                <w:rFonts w:ascii="Times New Roman" w:eastAsia="Times New Roman" w:hAnsi="Times New Roman"/>
                <w:sz w:val="24"/>
                <w:szCs w:val="24"/>
              </w:rPr>
              <w:t xml:space="preserve">403(b) </w:t>
            </w:r>
            <w:r w:rsidR="007F3A59" w:rsidRPr="007F3A59">
              <w:rPr>
                <w:rFonts w:ascii="Times New Roman" w:eastAsia="Times New Roman" w:hAnsi="Times New Roman"/>
                <w:sz w:val="24"/>
                <w:szCs w:val="24"/>
              </w:rPr>
              <w:t>annuity through payroll deductions. These contributions are</w:t>
            </w:r>
            <w:r w:rsidR="006F7118">
              <w:rPr>
                <w:rFonts w:ascii="Times New Roman" w:eastAsia="Times New Roman" w:hAnsi="Times New Roman"/>
                <w:sz w:val="24"/>
                <w:szCs w:val="24"/>
              </w:rPr>
              <w:t xml:space="preserve"> post-tax in nature</w:t>
            </w:r>
            <w:r w:rsidR="006065D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6065D5" w:rsidRDefault="006065D5" w:rsidP="006065D5">
            <w:pPr>
              <w:pStyle w:val="ListParagraph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F3A59" w:rsidRPr="008B2032" w:rsidRDefault="007F3A59" w:rsidP="006F7118">
            <w:pPr>
              <w:pStyle w:val="ListParagraph"/>
              <w:ind w:left="0"/>
              <w:rPr>
                <w:color w:val="000000"/>
              </w:rPr>
            </w:pPr>
            <w:r w:rsidRPr="007F3A59">
              <w:rPr>
                <w:rFonts w:ascii="Times New Roman" w:eastAsia="Times New Roman" w:hAnsi="Times New Roman"/>
                <w:sz w:val="24"/>
                <w:szCs w:val="24"/>
              </w:rPr>
              <w:t>As with existing tax-sheltered annuities, FBMC is the administrator for Roth post-tax contributions.</w:t>
            </w:r>
            <w:r w:rsidR="006065D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DE6011">
              <w:rPr>
                <w:rFonts w:ascii="Times New Roman" w:eastAsia="Times New Roman" w:hAnsi="Times New Roman"/>
                <w:sz w:val="24"/>
                <w:szCs w:val="24"/>
              </w:rPr>
              <w:t>The new deduction will be included in the FBMC enrollment</w:t>
            </w:r>
            <w:r w:rsidR="006F7118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 w:rsidR="00DE6011">
              <w:rPr>
                <w:rFonts w:ascii="Times New Roman" w:eastAsia="Times New Roman" w:hAnsi="Times New Roman"/>
                <w:sz w:val="24"/>
                <w:szCs w:val="24"/>
              </w:rPr>
              <w:t>changes file beginning with the pay period of June 25 through July 09, 2015.</w:t>
            </w:r>
          </w:p>
        </w:tc>
      </w:tr>
    </w:tbl>
    <w:p w:rsidR="00854331" w:rsidRPr="00813866" w:rsidRDefault="00854331" w:rsidP="00813866">
      <w:pPr>
        <w:pStyle w:val="BlockLine"/>
        <w:pBdr>
          <w:top w:val="single" w:sz="6" w:space="2" w:color="auto"/>
        </w:pBdr>
        <w:spacing w:before="120"/>
        <w:ind w:left="1627"/>
        <w:rPr>
          <w:sz w:val="16"/>
          <w:szCs w:val="28"/>
        </w:rPr>
      </w:pPr>
    </w:p>
    <w:tbl>
      <w:tblPr>
        <w:tblpPr w:leftFromText="180" w:rightFromText="180" w:vertAnchor="text" w:horzAnchor="margin" w:tblpY="92"/>
        <w:tblW w:w="0" w:type="auto"/>
        <w:tblLook w:val="0000"/>
      </w:tblPr>
      <w:tblGrid>
        <w:gridCol w:w="1458"/>
        <w:gridCol w:w="8694"/>
      </w:tblGrid>
      <w:tr w:rsidR="007E5815" w:rsidTr="007E5815">
        <w:trPr>
          <w:cantSplit/>
        </w:trPr>
        <w:tc>
          <w:tcPr>
            <w:tcW w:w="1458" w:type="dxa"/>
          </w:tcPr>
          <w:p w:rsidR="00442174" w:rsidRPr="006065D5" w:rsidRDefault="00AF3823" w:rsidP="007F3A59">
            <w:pPr>
              <w:pStyle w:val="Heading5"/>
              <w:rPr>
                <w:sz w:val="20"/>
              </w:rPr>
            </w:pPr>
            <w:r w:rsidRPr="00813866">
              <w:rPr>
                <w:szCs w:val="22"/>
              </w:rPr>
              <w:t>Deduction</w:t>
            </w:r>
            <w:r w:rsidR="00B73C39" w:rsidRPr="00813866">
              <w:rPr>
                <w:szCs w:val="22"/>
              </w:rPr>
              <w:t xml:space="preserve"> 043</w:t>
            </w:r>
          </w:p>
        </w:tc>
        <w:tc>
          <w:tcPr>
            <w:tcW w:w="8694" w:type="dxa"/>
          </w:tcPr>
          <w:p w:rsidR="007E5815" w:rsidRDefault="009B7B23" w:rsidP="00AF3823">
            <w:pPr>
              <w:pStyle w:val="NormalWeb"/>
              <w:spacing w:before="0" w:beforeAutospacing="0" w:after="0" w:afterAutospacing="0"/>
            </w:pPr>
            <w:r>
              <w:t xml:space="preserve">For those applicable agencies, </w:t>
            </w:r>
            <w:r w:rsidR="000C620B">
              <w:t xml:space="preserve">deduction 043 </w:t>
            </w:r>
            <w:r>
              <w:t>has been established to accommodate post-tax annuity contributions</w:t>
            </w:r>
            <w:r w:rsidR="00AF3823">
              <w:t xml:space="preserve">. In addition, changes have been made to the existing annuity </w:t>
            </w:r>
            <w:r w:rsidR="000C620B">
              <w:t xml:space="preserve">and cash match </w:t>
            </w:r>
            <w:r>
              <w:t>deduction names</w:t>
            </w:r>
            <w:r w:rsidR="00AF3823">
              <w:t xml:space="preserve"> to better </w:t>
            </w:r>
            <w:r>
              <w:t>associate them with the</w:t>
            </w:r>
            <w:r w:rsidR="00AF3823">
              <w:t xml:space="preserve"> tax-sheltered annuity program.</w:t>
            </w:r>
            <w:r w:rsidR="00DE6011">
              <w:t xml:space="preserve"> Effective July 1, 2015</w:t>
            </w:r>
            <w:r w:rsidR="0066543B">
              <w:t>,</w:t>
            </w:r>
            <w:r w:rsidR="00DE6011">
              <w:t xml:space="preserve"> these deductions will be named:</w:t>
            </w:r>
          </w:p>
          <w:p w:rsidR="00AF3823" w:rsidRDefault="00AF3823" w:rsidP="00AF3823">
            <w:pPr>
              <w:pStyle w:val="NormalWeb"/>
              <w:spacing w:before="0" w:beforeAutospacing="0" w:after="0" w:afterAutospacing="0"/>
            </w:pPr>
          </w:p>
          <w:p w:rsidR="00AF3823" w:rsidRDefault="00AF3823" w:rsidP="00AF3823">
            <w:pPr>
              <w:pStyle w:val="NormalWeb"/>
              <w:spacing w:before="0" w:beforeAutospacing="0" w:after="0" w:afterAutospacing="0"/>
            </w:pPr>
            <w:r>
              <w:t>Deduction 039, PRETX403</w:t>
            </w:r>
          </w:p>
          <w:p w:rsidR="009B7B23" w:rsidRDefault="009B7B23" w:rsidP="00AF3823">
            <w:pPr>
              <w:pStyle w:val="NormalWeb"/>
              <w:spacing w:before="0" w:beforeAutospacing="0" w:after="0" w:afterAutospacing="0"/>
            </w:pPr>
            <w:r>
              <w:t>Deduction 043, ROTH 403</w:t>
            </w:r>
          </w:p>
          <w:p w:rsidR="000C620B" w:rsidRPr="00C14BBF" w:rsidRDefault="00AF3823" w:rsidP="00AF3823">
            <w:pPr>
              <w:pStyle w:val="NormalWeb"/>
              <w:spacing w:before="0" w:beforeAutospacing="0" w:after="0" w:afterAutospacing="0"/>
            </w:pPr>
            <w:r>
              <w:t>Deduction 046, 403MATCH</w:t>
            </w:r>
          </w:p>
        </w:tc>
      </w:tr>
    </w:tbl>
    <w:p w:rsidR="007E5815" w:rsidRDefault="007E5815" w:rsidP="007E5815">
      <w:pPr>
        <w:pStyle w:val="BlockLine"/>
        <w:pBdr>
          <w:top w:val="single" w:sz="6" w:space="2" w:color="auto"/>
        </w:pBdr>
        <w:spacing w:before="120"/>
        <w:ind w:left="1627"/>
        <w:rPr>
          <w:sz w:val="16"/>
          <w:szCs w:val="28"/>
        </w:rPr>
      </w:pPr>
    </w:p>
    <w:tbl>
      <w:tblPr>
        <w:tblW w:w="10188" w:type="dxa"/>
        <w:tblLayout w:type="fixed"/>
        <w:tblLook w:val="0000"/>
      </w:tblPr>
      <w:tblGrid>
        <w:gridCol w:w="1458"/>
        <w:gridCol w:w="8730"/>
      </w:tblGrid>
      <w:tr w:rsidR="00552FDE" w:rsidRPr="00281A8E" w:rsidTr="00552FDE">
        <w:trPr>
          <w:cantSplit/>
          <w:trHeight w:val="1040"/>
        </w:trPr>
        <w:tc>
          <w:tcPr>
            <w:tcW w:w="1458" w:type="dxa"/>
          </w:tcPr>
          <w:p w:rsidR="00552FDE" w:rsidRDefault="00552FDE" w:rsidP="00552FDE">
            <w:pPr>
              <w:pStyle w:val="Heading5"/>
              <w:rPr>
                <w:szCs w:val="22"/>
              </w:rPr>
            </w:pPr>
            <w:r>
              <w:rPr>
                <w:szCs w:val="22"/>
              </w:rPr>
              <w:t>Report Changes</w:t>
            </w:r>
          </w:p>
          <w:p w:rsidR="00552FDE" w:rsidRPr="00442174" w:rsidRDefault="00552FDE" w:rsidP="00552FDE"/>
        </w:tc>
        <w:tc>
          <w:tcPr>
            <w:tcW w:w="8730" w:type="dxa"/>
          </w:tcPr>
          <w:p w:rsidR="00552FDE" w:rsidRDefault="00552FDE" w:rsidP="00552FDE">
            <w:pPr>
              <w:rPr>
                <w:szCs w:val="24"/>
              </w:rPr>
            </w:pPr>
            <w:r>
              <w:rPr>
                <w:szCs w:val="24"/>
              </w:rPr>
              <w:t>The addition of the Roth 403(b) annuity deduction impacts several existing reports.</w:t>
            </w:r>
            <w:r w:rsidR="0066543B">
              <w:rPr>
                <w:szCs w:val="24"/>
              </w:rPr>
              <w:t xml:space="preserve"> In addition to the standard system reports, deduction 043 will appear as a line-item on the</w:t>
            </w:r>
            <w:r w:rsidR="006F7118">
              <w:rPr>
                <w:szCs w:val="24"/>
              </w:rPr>
              <w:t xml:space="preserve"> following</w:t>
            </w:r>
            <w:r w:rsidR="0066543B">
              <w:rPr>
                <w:szCs w:val="24"/>
              </w:rPr>
              <w:t xml:space="preserve"> reports</w:t>
            </w:r>
            <w:r>
              <w:rPr>
                <w:szCs w:val="24"/>
              </w:rPr>
              <w:t>:</w:t>
            </w:r>
          </w:p>
          <w:p w:rsidR="00552FDE" w:rsidRDefault="00552FDE" w:rsidP="00552FDE">
            <w:pPr>
              <w:rPr>
                <w:szCs w:val="24"/>
              </w:rPr>
            </w:pPr>
          </w:p>
          <w:p w:rsidR="00552FDE" w:rsidRDefault="00552FDE" w:rsidP="00552FDE">
            <w:pPr>
              <w:rPr>
                <w:szCs w:val="24"/>
              </w:rPr>
            </w:pPr>
            <w:r>
              <w:rPr>
                <w:szCs w:val="24"/>
              </w:rPr>
              <w:t>Report U002, SUSPENSE RECONCILIATION REGISTER</w:t>
            </w:r>
          </w:p>
          <w:p w:rsidR="00552FDE" w:rsidRDefault="00552FDE" w:rsidP="00552FDE">
            <w:pPr>
              <w:rPr>
                <w:szCs w:val="24"/>
              </w:rPr>
            </w:pPr>
            <w:r>
              <w:rPr>
                <w:szCs w:val="24"/>
              </w:rPr>
              <w:t>Report U023, SUMMARY OF PAYROLL EXPENDITURES</w:t>
            </w:r>
          </w:p>
          <w:p w:rsidR="00552FDE" w:rsidRDefault="00552FDE" w:rsidP="00552FDE">
            <w:pPr>
              <w:rPr>
                <w:szCs w:val="24"/>
              </w:rPr>
            </w:pPr>
            <w:r>
              <w:rPr>
                <w:szCs w:val="24"/>
              </w:rPr>
              <w:t>Report U147, MISC INS/ANNUITY/FEE UPDATE LISTING</w:t>
            </w:r>
          </w:p>
          <w:p w:rsidR="00552FDE" w:rsidRPr="0042426D" w:rsidRDefault="00552FDE" w:rsidP="00552FDE">
            <w:pPr>
              <w:rPr>
                <w:szCs w:val="24"/>
              </w:rPr>
            </w:pPr>
            <w:r>
              <w:rPr>
                <w:szCs w:val="24"/>
              </w:rPr>
              <w:t>Report U149, CASH MATCH (DED 45 + 46) DISCREPANCY LISTING</w:t>
            </w:r>
          </w:p>
        </w:tc>
      </w:tr>
    </w:tbl>
    <w:p w:rsidR="00552FDE" w:rsidRDefault="00552FDE" w:rsidP="00552FDE">
      <w:pPr>
        <w:pStyle w:val="ContinuedOnNextPa"/>
      </w:pPr>
      <w:r w:rsidRPr="00360170">
        <w:t xml:space="preserve">Continued on next page </w:t>
      </w:r>
    </w:p>
    <w:p w:rsidR="006F7118" w:rsidRDefault="006F7118">
      <w:r>
        <w:br w:type="page"/>
      </w:r>
    </w:p>
    <w:p w:rsidR="00552FDE" w:rsidRDefault="00552FDE" w:rsidP="00552FDE">
      <w:r>
        <w:rPr>
          <w:b/>
          <w:sz w:val="28"/>
          <w:szCs w:val="28"/>
        </w:rPr>
        <w:t>Roth 403(b) Annuity</w:t>
      </w:r>
      <w:r w:rsidR="00813866">
        <w:rPr>
          <w:b/>
          <w:sz w:val="28"/>
          <w:szCs w:val="28"/>
        </w:rPr>
        <w:t xml:space="preserve"> Option</w:t>
      </w:r>
      <w:r>
        <w:t xml:space="preserve"> continued</w:t>
      </w:r>
    </w:p>
    <w:p w:rsidR="00552FDE" w:rsidRPr="00034ABB" w:rsidRDefault="00552FDE" w:rsidP="00552FDE">
      <w:pPr>
        <w:pStyle w:val="BlockLine"/>
        <w:spacing w:before="120"/>
        <w:ind w:left="1699"/>
        <w:rPr>
          <w:sz w:val="16"/>
          <w:szCs w:val="16"/>
        </w:rPr>
      </w:pPr>
    </w:p>
    <w:tbl>
      <w:tblPr>
        <w:tblW w:w="10188" w:type="dxa"/>
        <w:tblLayout w:type="fixed"/>
        <w:tblLook w:val="0000"/>
      </w:tblPr>
      <w:tblGrid>
        <w:gridCol w:w="1458"/>
        <w:gridCol w:w="8730"/>
      </w:tblGrid>
      <w:tr w:rsidR="0074416A" w:rsidTr="00DB0F43">
        <w:trPr>
          <w:cantSplit/>
          <w:trHeight w:val="1040"/>
        </w:trPr>
        <w:tc>
          <w:tcPr>
            <w:tcW w:w="1458" w:type="dxa"/>
          </w:tcPr>
          <w:p w:rsidR="0074416A" w:rsidRDefault="00813866" w:rsidP="0017296B">
            <w:pPr>
              <w:pStyle w:val="Heading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Deduction Goal and </w:t>
            </w:r>
            <w:r w:rsidR="00B73C39">
              <w:rPr>
                <w:sz w:val="24"/>
                <w:szCs w:val="24"/>
              </w:rPr>
              <w:t>Shared Deferral</w:t>
            </w:r>
            <w:r w:rsidR="006F7107">
              <w:rPr>
                <w:sz w:val="24"/>
                <w:szCs w:val="24"/>
              </w:rPr>
              <w:t xml:space="preserve"> Limit</w:t>
            </w:r>
          </w:p>
          <w:p w:rsidR="00442174" w:rsidRPr="00442174" w:rsidRDefault="00442174" w:rsidP="00442174"/>
        </w:tc>
        <w:tc>
          <w:tcPr>
            <w:tcW w:w="8730" w:type="dxa"/>
          </w:tcPr>
          <w:p w:rsidR="009B7B23" w:rsidRDefault="006F7107" w:rsidP="009B7B23">
            <w:pPr>
              <w:pStyle w:val="ListParagraph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Regardless of whether annuity deferrals are made pre-tax or to a Roth post-tax plan, the total of </w:t>
            </w:r>
            <w:r w:rsidRPr="0066543B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all </w:t>
            </w:r>
            <w:r w:rsidR="000C620B" w:rsidRPr="0066543B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annuity </w:t>
            </w:r>
            <w:r w:rsidRPr="0066543B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deferrals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for an employee cannot exceed the limits set </w:t>
            </w:r>
            <w:r w:rsidR="00B73C39">
              <w:rPr>
                <w:rFonts w:ascii="Times New Roman" w:eastAsia="Times New Roman" w:hAnsi="Times New Roman"/>
                <w:sz w:val="24"/>
                <w:szCs w:val="24"/>
              </w:rPr>
              <w:t>for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IRS §403(b)</w:t>
            </w:r>
            <w:r w:rsidR="0066543B">
              <w:rPr>
                <w:rFonts w:ascii="Times New Roman" w:eastAsia="Times New Roman" w:hAnsi="Times New Roman"/>
                <w:sz w:val="24"/>
                <w:szCs w:val="24"/>
              </w:rPr>
              <w:t xml:space="preserve"> plans</w:t>
            </w:r>
            <w:r w:rsidR="009620BB">
              <w:rPr>
                <w:rFonts w:ascii="Times New Roman" w:eastAsia="Times New Roman" w:hAnsi="Times New Roman"/>
                <w:sz w:val="24"/>
                <w:szCs w:val="24"/>
              </w:rPr>
              <w:t>.  For 2015, the deferral limits are as follows:</w:t>
            </w:r>
          </w:p>
          <w:p w:rsidR="009620BB" w:rsidRDefault="009620BB" w:rsidP="009B7B23">
            <w:pPr>
              <w:pStyle w:val="ListParagraph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620BB" w:rsidRDefault="009620BB" w:rsidP="000C620B">
            <w:pPr>
              <w:pStyle w:val="ListParagraph"/>
              <w:tabs>
                <w:tab w:val="left" w:pos="1962"/>
              </w:tabs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Normal Limit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  <w:t>$18,000</w:t>
            </w:r>
          </w:p>
          <w:p w:rsidR="009620BB" w:rsidRDefault="009620BB" w:rsidP="000C620B">
            <w:pPr>
              <w:pStyle w:val="ListParagraph"/>
              <w:tabs>
                <w:tab w:val="left" w:pos="1962"/>
              </w:tabs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Age 50 catch-up: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  <w:t>$6,000</w:t>
            </w:r>
          </w:p>
          <w:p w:rsidR="009620BB" w:rsidRDefault="009620BB" w:rsidP="000C620B">
            <w:pPr>
              <w:pStyle w:val="ListParagraph"/>
              <w:tabs>
                <w:tab w:val="left" w:pos="1962"/>
              </w:tabs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15-year catch-up: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  <w:t>$3,000</w:t>
            </w:r>
          </w:p>
          <w:p w:rsidR="009620BB" w:rsidRDefault="009620BB" w:rsidP="009B7B23">
            <w:pPr>
              <w:pStyle w:val="ListParagraph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3866" w:rsidRPr="00813866" w:rsidRDefault="000C620B" w:rsidP="00632AFF">
            <w:pPr>
              <w:pStyle w:val="ListParagraph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Because it is possible for an employee to have only the pre-tax annuity or only the Roth annuity, each deduction will be established in CIPPS with the full limit set as its deduction goal. </w:t>
            </w:r>
            <w:r w:rsidR="00F14B28">
              <w:rPr>
                <w:rFonts w:ascii="Times New Roman" w:eastAsia="Times New Roman" w:hAnsi="Times New Roman"/>
                <w:sz w:val="24"/>
                <w:szCs w:val="24"/>
              </w:rPr>
              <w:t xml:space="preserve">This means, however, that any employee having </w:t>
            </w:r>
            <w:r w:rsidR="00F14B28" w:rsidRPr="00F14B28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both</w:t>
            </w:r>
            <w:r w:rsidR="00F14B2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552FDE">
              <w:rPr>
                <w:rFonts w:ascii="Times New Roman" w:eastAsia="Times New Roman" w:hAnsi="Times New Roman"/>
                <w:sz w:val="24"/>
                <w:szCs w:val="24"/>
              </w:rPr>
              <w:t xml:space="preserve">pre-tax and post-tax </w:t>
            </w:r>
            <w:r w:rsidR="00F14B28">
              <w:rPr>
                <w:rFonts w:ascii="Times New Roman" w:eastAsia="Times New Roman" w:hAnsi="Times New Roman"/>
                <w:sz w:val="24"/>
                <w:szCs w:val="24"/>
              </w:rPr>
              <w:t xml:space="preserve">annuity deductions </w:t>
            </w:r>
            <w:r w:rsidR="00552FDE">
              <w:rPr>
                <w:rFonts w:ascii="Times New Roman" w:eastAsia="Times New Roman" w:hAnsi="Times New Roman"/>
                <w:sz w:val="24"/>
                <w:szCs w:val="24"/>
              </w:rPr>
              <w:t>may</w:t>
            </w:r>
            <w:r w:rsidR="00F14B28">
              <w:rPr>
                <w:rFonts w:ascii="Times New Roman" w:eastAsia="Times New Roman" w:hAnsi="Times New Roman"/>
                <w:sz w:val="24"/>
                <w:szCs w:val="24"/>
              </w:rPr>
              <w:t xml:space="preserve"> potentially exceed the annual contribution limit. </w:t>
            </w:r>
            <w:r w:rsidR="00632AFF">
              <w:rPr>
                <w:rFonts w:ascii="Times New Roman" w:eastAsia="Times New Roman" w:hAnsi="Times New Roman"/>
                <w:sz w:val="24"/>
                <w:szCs w:val="24"/>
              </w:rPr>
              <w:t xml:space="preserve">CIPPS does not provide a means to apply a single limit across multiple deductions.  </w:t>
            </w:r>
            <w:r w:rsidR="004A1C9B" w:rsidRPr="00F14B28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r w:rsidRPr="00F14B28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620BB">
              <w:rPr>
                <w:rFonts w:ascii="Times New Roman" w:eastAsia="Times New Roman" w:hAnsi="Times New Roman"/>
                <w:sz w:val="24"/>
                <w:szCs w:val="24"/>
              </w:rPr>
              <w:t xml:space="preserve">is </w:t>
            </w:r>
            <w:r w:rsidR="00632AFF">
              <w:rPr>
                <w:rFonts w:ascii="Times New Roman" w:eastAsia="Times New Roman" w:hAnsi="Times New Roman"/>
                <w:sz w:val="24"/>
                <w:szCs w:val="24"/>
              </w:rPr>
              <w:t xml:space="preserve">the responsibility of the employing </w:t>
            </w:r>
            <w:r w:rsidR="009620BB">
              <w:rPr>
                <w:rFonts w:ascii="Times New Roman" w:eastAsia="Times New Roman" w:hAnsi="Times New Roman"/>
                <w:sz w:val="24"/>
                <w:szCs w:val="24"/>
              </w:rPr>
              <w:t>agenc</w:t>
            </w:r>
            <w:r w:rsidR="00632AFF">
              <w:rPr>
                <w:rFonts w:ascii="Times New Roman" w:eastAsia="Times New Roman" w:hAnsi="Times New Roman"/>
                <w:sz w:val="24"/>
                <w:szCs w:val="24"/>
              </w:rPr>
              <w:t>y</w:t>
            </w:r>
            <w:r w:rsidR="009620BB">
              <w:rPr>
                <w:rFonts w:ascii="Times New Roman" w:eastAsia="Times New Roman" w:hAnsi="Times New Roman"/>
                <w:sz w:val="24"/>
                <w:szCs w:val="24"/>
              </w:rPr>
              <w:t xml:space="preserve"> to </w:t>
            </w:r>
            <w:r w:rsidR="00632AFF">
              <w:rPr>
                <w:rFonts w:ascii="Times New Roman" w:eastAsia="Times New Roman" w:hAnsi="Times New Roman"/>
                <w:sz w:val="24"/>
                <w:szCs w:val="24"/>
              </w:rPr>
              <w:t>monitor contributions and ensure</w:t>
            </w:r>
            <w:r w:rsidR="009620BB">
              <w:rPr>
                <w:rFonts w:ascii="Times New Roman" w:eastAsia="Times New Roman" w:hAnsi="Times New Roman"/>
                <w:sz w:val="24"/>
                <w:szCs w:val="24"/>
              </w:rPr>
              <w:t xml:space="preserve"> that deferral limits are not exceeded for any em</w:t>
            </w:r>
            <w:r w:rsidR="006E3E85">
              <w:rPr>
                <w:rFonts w:ascii="Times New Roman" w:eastAsia="Times New Roman" w:hAnsi="Times New Roman"/>
                <w:sz w:val="24"/>
                <w:szCs w:val="24"/>
              </w:rPr>
              <w:t>ployee during the calendar year</w:t>
            </w:r>
            <w:r w:rsidR="00F14B2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</w:tbl>
    <w:p w:rsidR="00094E2F" w:rsidRPr="00034ABB" w:rsidRDefault="00094E2F" w:rsidP="00094E2F">
      <w:pPr>
        <w:pStyle w:val="BlockLine"/>
        <w:spacing w:before="120"/>
        <w:ind w:left="1699"/>
        <w:rPr>
          <w:sz w:val="16"/>
          <w:szCs w:val="16"/>
        </w:rPr>
      </w:pPr>
    </w:p>
    <w:tbl>
      <w:tblPr>
        <w:tblW w:w="10188" w:type="dxa"/>
        <w:tblLayout w:type="fixed"/>
        <w:tblLook w:val="0000"/>
      </w:tblPr>
      <w:tblGrid>
        <w:gridCol w:w="1458"/>
        <w:gridCol w:w="8730"/>
      </w:tblGrid>
      <w:tr w:rsidR="00B20FF2" w:rsidRPr="00281A8E" w:rsidTr="00B20FF2">
        <w:trPr>
          <w:cantSplit/>
          <w:trHeight w:val="1040"/>
        </w:trPr>
        <w:tc>
          <w:tcPr>
            <w:tcW w:w="1458" w:type="dxa"/>
          </w:tcPr>
          <w:p w:rsidR="00B20FF2" w:rsidRPr="00813866" w:rsidRDefault="00813866" w:rsidP="00B20FF2">
            <w:pPr>
              <w:pStyle w:val="Heading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Cash Match</w:t>
            </w:r>
          </w:p>
          <w:p w:rsidR="00442174" w:rsidRPr="00442174" w:rsidRDefault="00442174" w:rsidP="00442174"/>
        </w:tc>
        <w:tc>
          <w:tcPr>
            <w:tcW w:w="8730" w:type="dxa"/>
          </w:tcPr>
          <w:p w:rsidR="00813866" w:rsidRPr="00C978AF" w:rsidRDefault="00813866" w:rsidP="00632AFF">
            <w:pPr>
              <w:rPr>
                <w:rFonts w:cs="Arial"/>
                <w:color w:val="000000"/>
                <w:szCs w:val="24"/>
              </w:rPr>
            </w:pPr>
            <w:r>
              <w:rPr>
                <w:szCs w:val="24"/>
              </w:rPr>
              <w:t xml:space="preserve">CIPPS will automatically establish or change the cash match deduction 046, 403MATCH, based on </w:t>
            </w:r>
            <w:r w:rsidR="00632AFF">
              <w:rPr>
                <w:szCs w:val="24"/>
              </w:rPr>
              <w:t xml:space="preserve">the total of the two </w:t>
            </w:r>
            <w:r>
              <w:rPr>
                <w:szCs w:val="24"/>
              </w:rPr>
              <w:t xml:space="preserve">deductions. </w:t>
            </w:r>
            <w:r w:rsidR="00632AFF">
              <w:rPr>
                <w:szCs w:val="24"/>
              </w:rPr>
              <w:t>If</w:t>
            </w:r>
            <w:r>
              <w:rPr>
                <w:szCs w:val="24"/>
              </w:rPr>
              <w:t xml:space="preserve"> either annuity deduction</w:t>
            </w:r>
            <w:r w:rsidR="00895123">
              <w:rPr>
                <w:szCs w:val="24"/>
              </w:rPr>
              <w:t xml:space="preserve"> (or both) </w:t>
            </w:r>
            <w:r>
              <w:rPr>
                <w:szCs w:val="24"/>
              </w:rPr>
              <w:t xml:space="preserve">is a percentage, the cash match will be established </w:t>
            </w:r>
            <w:r w:rsidR="00632AFF">
              <w:rPr>
                <w:szCs w:val="24"/>
              </w:rPr>
              <w:t xml:space="preserve">at the maximum pay period value </w:t>
            </w:r>
            <w:r>
              <w:rPr>
                <w:szCs w:val="24"/>
              </w:rPr>
              <w:t>according to the number of pays on the employee’s H0BUO screen.</w:t>
            </w:r>
          </w:p>
        </w:tc>
      </w:tr>
    </w:tbl>
    <w:p w:rsidR="00B6725E" w:rsidRPr="00C50FDD" w:rsidRDefault="00B6725E" w:rsidP="00B6725E">
      <w:pPr>
        <w:pStyle w:val="BlockLine"/>
        <w:spacing w:before="120"/>
        <w:ind w:left="1620"/>
        <w:rPr>
          <w:sz w:val="16"/>
          <w:szCs w:val="16"/>
        </w:rPr>
      </w:pPr>
    </w:p>
    <w:p w:rsidR="00B6725E" w:rsidRPr="003A7585" w:rsidRDefault="00442174" w:rsidP="00B6725E">
      <w:pPr>
        <w:pStyle w:val="Heading4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Supplemental Insurance Fee</w:t>
      </w:r>
    </w:p>
    <w:p w:rsidR="00A31266" w:rsidRPr="00034ABB" w:rsidRDefault="00A31266" w:rsidP="00A31266">
      <w:pPr>
        <w:pStyle w:val="BlockLine"/>
        <w:spacing w:before="120"/>
        <w:ind w:left="1699"/>
        <w:rPr>
          <w:sz w:val="16"/>
          <w:szCs w:val="16"/>
        </w:rPr>
      </w:pPr>
    </w:p>
    <w:tbl>
      <w:tblPr>
        <w:tblW w:w="10188" w:type="dxa"/>
        <w:tblLayout w:type="fixed"/>
        <w:tblLook w:val="0000"/>
      </w:tblPr>
      <w:tblGrid>
        <w:gridCol w:w="1458"/>
        <w:gridCol w:w="8730"/>
      </w:tblGrid>
      <w:tr w:rsidR="00B66358" w:rsidTr="0037715B">
        <w:trPr>
          <w:cantSplit/>
          <w:trHeight w:val="1922"/>
        </w:trPr>
        <w:tc>
          <w:tcPr>
            <w:tcW w:w="1458" w:type="dxa"/>
          </w:tcPr>
          <w:p w:rsidR="00B66358" w:rsidRDefault="008D59B8" w:rsidP="0037715B">
            <w:pPr>
              <w:pStyle w:val="Heading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Deduction 054</w:t>
            </w:r>
          </w:p>
          <w:p w:rsidR="00442174" w:rsidRPr="00442174" w:rsidRDefault="00442174" w:rsidP="00442174"/>
        </w:tc>
        <w:tc>
          <w:tcPr>
            <w:tcW w:w="8730" w:type="dxa"/>
          </w:tcPr>
          <w:p w:rsidR="00B66358" w:rsidRDefault="002359CC" w:rsidP="0017296B">
            <w:pPr>
              <w:autoSpaceDE w:val="0"/>
              <w:autoSpaceDN w:val="0"/>
              <w:adjustRightInd w:val="0"/>
              <w:rPr>
                <w:rFonts w:cs="Arial Black"/>
                <w:color w:val="000000"/>
              </w:rPr>
            </w:pPr>
            <w:r>
              <w:rPr>
                <w:rFonts w:cs="Arial Black"/>
                <w:color w:val="000000"/>
              </w:rPr>
              <w:t>T</w:t>
            </w:r>
            <w:r w:rsidR="009B7B23">
              <w:rPr>
                <w:rFonts w:cs="Arial Black"/>
                <w:color w:val="000000"/>
              </w:rPr>
              <w:t xml:space="preserve">he Department of Accounts (DOA) is authorized to charge employees a mandatory </w:t>
            </w:r>
            <w:r w:rsidR="00FA0FDD">
              <w:rPr>
                <w:rFonts w:cs="Arial Black"/>
                <w:color w:val="000000"/>
              </w:rPr>
              <w:t xml:space="preserve">administration </w:t>
            </w:r>
            <w:r w:rsidR="009B7B23">
              <w:rPr>
                <w:rFonts w:cs="Arial Black"/>
                <w:color w:val="000000"/>
              </w:rPr>
              <w:t>fee of up to 15 cents for each payroll deduction administered under the Supplemental Insurance and Annuities program.</w:t>
            </w:r>
            <w:r w:rsidR="008D59B8">
              <w:rPr>
                <w:rFonts w:cs="Arial Black"/>
                <w:color w:val="000000"/>
              </w:rPr>
              <w:t xml:space="preserve"> </w:t>
            </w:r>
            <w:r w:rsidR="00FA0FDD">
              <w:rPr>
                <w:rFonts w:cs="Arial Black"/>
                <w:color w:val="000000"/>
              </w:rPr>
              <w:t xml:space="preserve"> </w:t>
            </w:r>
            <w:r>
              <w:rPr>
                <w:rFonts w:cs="Arial Black"/>
                <w:color w:val="000000"/>
              </w:rPr>
              <w:t>Effective July 1, 2015</w:t>
            </w:r>
            <w:r w:rsidR="008D59B8">
              <w:rPr>
                <w:rFonts w:cs="Arial Black"/>
                <w:color w:val="000000"/>
              </w:rPr>
              <w:t xml:space="preserve"> </w:t>
            </w:r>
            <w:r w:rsidR="00FA0FDD">
              <w:rPr>
                <w:rFonts w:cs="Arial Black"/>
                <w:color w:val="000000"/>
              </w:rPr>
              <w:t xml:space="preserve">(July 16, 2015 pay day) </w:t>
            </w:r>
            <w:r w:rsidR="008D59B8">
              <w:rPr>
                <w:rFonts w:cs="Arial Black"/>
                <w:color w:val="000000"/>
              </w:rPr>
              <w:t xml:space="preserve">this fee </w:t>
            </w:r>
            <w:r w:rsidR="00FA0FDD">
              <w:rPr>
                <w:rFonts w:cs="Arial Black"/>
                <w:color w:val="000000"/>
              </w:rPr>
              <w:t xml:space="preserve">will be applied to each employee with an active </w:t>
            </w:r>
            <w:r w:rsidR="0066543B">
              <w:rPr>
                <w:rFonts w:cs="Arial Black"/>
                <w:color w:val="000000"/>
              </w:rPr>
              <w:t xml:space="preserve">deduction </w:t>
            </w:r>
            <w:r w:rsidR="008D59B8">
              <w:rPr>
                <w:rFonts w:cs="Arial Black"/>
                <w:color w:val="000000"/>
              </w:rPr>
              <w:t>041</w:t>
            </w:r>
            <w:r w:rsidR="00FA0FDD">
              <w:rPr>
                <w:rFonts w:cs="Arial Black"/>
                <w:color w:val="000000"/>
              </w:rPr>
              <w:t>, POST TAX</w:t>
            </w:r>
            <w:r w:rsidR="00A56F6E">
              <w:rPr>
                <w:rFonts w:cs="Arial Black"/>
                <w:color w:val="000000"/>
              </w:rPr>
              <w:t xml:space="preserve">.  At this time the fee will not be applied to </w:t>
            </w:r>
            <w:r w:rsidR="00A56F6E">
              <w:t>Deduction 039, PRETX403</w:t>
            </w:r>
            <w:r w:rsidR="008D59B8">
              <w:rPr>
                <w:rFonts w:cs="Arial Black"/>
                <w:color w:val="000000"/>
              </w:rPr>
              <w:t xml:space="preserve">. </w:t>
            </w:r>
            <w:r w:rsidR="008D59B8" w:rsidRPr="00FA0FDD">
              <w:rPr>
                <w:rFonts w:cs="Arial Black"/>
                <w:b/>
                <w:color w:val="000000"/>
              </w:rPr>
              <w:t xml:space="preserve">Reimbursement by the employing agency is </w:t>
            </w:r>
            <w:r w:rsidR="008D59B8" w:rsidRPr="00FA0FDD">
              <w:rPr>
                <w:rFonts w:cs="Arial Black"/>
                <w:b/>
                <w:color w:val="000000"/>
                <w:u w:val="single"/>
              </w:rPr>
              <w:t>prohibited</w:t>
            </w:r>
            <w:r w:rsidR="008D59B8" w:rsidRPr="00FA0FDD">
              <w:rPr>
                <w:rFonts w:cs="Arial Black"/>
                <w:b/>
                <w:color w:val="000000"/>
              </w:rPr>
              <w:t>.</w:t>
            </w:r>
          </w:p>
          <w:p w:rsidR="008D59B8" w:rsidRDefault="008D59B8" w:rsidP="0017296B">
            <w:pPr>
              <w:autoSpaceDE w:val="0"/>
              <w:autoSpaceDN w:val="0"/>
              <w:adjustRightInd w:val="0"/>
              <w:rPr>
                <w:rFonts w:cs="Arial Black"/>
                <w:color w:val="000000"/>
              </w:rPr>
            </w:pPr>
          </w:p>
          <w:p w:rsidR="00442174" w:rsidRDefault="008D59B8" w:rsidP="00972982">
            <w:pPr>
              <w:autoSpaceDE w:val="0"/>
              <w:autoSpaceDN w:val="0"/>
              <w:adjustRightInd w:val="0"/>
              <w:rPr>
                <w:rFonts w:cs="Arial Black"/>
                <w:color w:val="000000"/>
              </w:rPr>
            </w:pPr>
            <w:r>
              <w:rPr>
                <w:rFonts w:cs="Arial Black"/>
                <w:color w:val="000000"/>
              </w:rPr>
              <w:t>Th</w:t>
            </w:r>
            <w:r w:rsidR="00FA0FDD">
              <w:rPr>
                <w:rFonts w:cs="Arial Black"/>
                <w:color w:val="000000"/>
              </w:rPr>
              <w:t>e</w:t>
            </w:r>
            <w:r>
              <w:rPr>
                <w:rFonts w:cs="Arial Black"/>
                <w:color w:val="000000"/>
              </w:rPr>
              <w:t xml:space="preserve"> DOA </w:t>
            </w:r>
            <w:r w:rsidR="00FA0FDD">
              <w:rPr>
                <w:rFonts w:cs="Arial Black"/>
                <w:color w:val="000000"/>
              </w:rPr>
              <w:t xml:space="preserve">administration </w:t>
            </w:r>
            <w:r>
              <w:rPr>
                <w:rFonts w:cs="Arial Black"/>
                <w:color w:val="000000"/>
              </w:rPr>
              <w:t xml:space="preserve">fee will be collected using deduction 054, SUPINSFEE. </w:t>
            </w:r>
            <w:r w:rsidR="000E6D38">
              <w:rPr>
                <w:rFonts w:cs="Arial Black"/>
                <w:color w:val="000000"/>
              </w:rPr>
              <w:t>As necessary, d</w:t>
            </w:r>
            <w:r>
              <w:rPr>
                <w:rFonts w:cs="Arial Black"/>
                <w:color w:val="000000"/>
              </w:rPr>
              <w:t xml:space="preserve">eduction 054 </w:t>
            </w:r>
            <w:r w:rsidR="000E6D38">
              <w:rPr>
                <w:rFonts w:cs="Arial Black"/>
                <w:color w:val="000000"/>
              </w:rPr>
              <w:t xml:space="preserve">will be </w:t>
            </w:r>
            <w:proofErr w:type="gramStart"/>
            <w:r w:rsidR="000E6D38">
              <w:rPr>
                <w:rFonts w:cs="Arial Black"/>
                <w:color w:val="000000"/>
              </w:rPr>
              <w:t>established</w:t>
            </w:r>
            <w:r w:rsidR="00972982">
              <w:rPr>
                <w:rFonts w:cs="Arial Black"/>
                <w:color w:val="000000"/>
              </w:rPr>
              <w:t>/deactivated</w:t>
            </w:r>
            <w:proofErr w:type="gramEnd"/>
            <w:r w:rsidR="000E6D38">
              <w:rPr>
                <w:rFonts w:cs="Arial Black"/>
                <w:color w:val="000000"/>
              </w:rPr>
              <w:t xml:space="preserve"> in CIPPS </w:t>
            </w:r>
            <w:r>
              <w:rPr>
                <w:rFonts w:cs="Arial Black"/>
                <w:color w:val="000000"/>
              </w:rPr>
              <w:t>as part of the FBMC change file processing.</w:t>
            </w:r>
            <w:r w:rsidR="000E6D38">
              <w:rPr>
                <w:rFonts w:cs="Arial Black"/>
                <w:color w:val="000000"/>
              </w:rPr>
              <w:t xml:space="preserve"> However deduction 054 is an internal fee</w:t>
            </w:r>
            <w:r w:rsidR="00972982">
              <w:rPr>
                <w:rFonts w:cs="Arial Black"/>
                <w:color w:val="000000"/>
              </w:rPr>
              <w:t xml:space="preserve"> and </w:t>
            </w:r>
            <w:r w:rsidR="000E6D38">
              <w:rPr>
                <w:rFonts w:cs="Arial Black"/>
                <w:color w:val="000000"/>
              </w:rPr>
              <w:t xml:space="preserve">will not be included on report U147 which is specific to </w:t>
            </w:r>
            <w:r w:rsidR="00FA0FDD" w:rsidRPr="00054BED">
              <w:rPr>
                <w:rFonts w:cs="Arial Black"/>
                <w:i/>
                <w:color w:val="000000"/>
              </w:rPr>
              <w:t>FBMC</w:t>
            </w:r>
            <w:r w:rsidR="00FA0FDD">
              <w:rPr>
                <w:rFonts w:cs="Arial Black"/>
                <w:color w:val="000000"/>
              </w:rPr>
              <w:t xml:space="preserve"> </w:t>
            </w:r>
            <w:r w:rsidR="000E6D38">
              <w:rPr>
                <w:rFonts w:cs="Arial Black"/>
                <w:color w:val="000000"/>
              </w:rPr>
              <w:t>Annuity and Miscellaneous Insurance deductions.</w:t>
            </w:r>
            <w:r>
              <w:rPr>
                <w:rFonts w:cs="Arial Black"/>
                <w:color w:val="000000"/>
              </w:rPr>
              <w:t xml:space="preserve"> </w:t>
            </w:r>
          </w:p>
          <w:p w:rsidR="00A56F6E" w:rsidRDefault="00A56F6E" w:rsidP="00972982">
            <w:pPr>
              <w:autoSpaceDE w:val="0"/>
              <w:autoSpaceDN w:val="0"/>
              <w:adjustRightInd w:val="0"/>
              <w:rPr>
                <w:rFonts w:cs="Arial Black"/>
                <w:color w:val="000000"/>
              </w:rPr>
            </w:pPr>
          </w:p>
          <w:p w:rsidR="00A56F6E" w:rsidRPr="0029360D" w:rsidRDefault="00A56F6E" w:rsidP="00972982">
            <w:pPr>
              <w:autoSpaceDE w:val="0"/>
              <w:autoSpaceDN w:val="0"/>
              <w:adjustRightInd w:val="0"/>
              <w:rPr>
                <w:rFonts w:cs="Arial Black"/>
                <w:color w:val="000000"/>
              </w:rPr>
            </w:pPr>
            <w:r>
              <w:rPr>
                <w:rFonts w:cs="Arial Black"/>
                <w:color w:val="000000"/>
              </w:rPr>
              <w:t>Each employing agency must notify affected employees no later than May 15, 2015 so that the employee can make alternative</w:t>
            </w:r>
            <w:r w:rsidR="00C15AC0">
              <w:rPr>
                <w:rFonts w:cs="Arial Black"/>
                <w:color w:val="000000"/>
              </w:rPr>
              <w:t xml:space="preserve"> payment</w:t>
            </w:r>
            <w:r>
              <w:rPr>
                <w:rFonts w:cs="Arial Black"/>
                <w:color w:val="000000"/>
              </w:rPr>
              <w:t xml:space="preserve"> arrangements with the insurance vendors if desired.</w:t>
            </w:r>
          </w:p>
        </w:tc>
      </w:tr>
    </w:tbl>
    <w:p w:rsidR="00A31266" w:rsidRDefault="00A31266" w:rsidP="00A31266">
      <w:pPr>
        <w:pStyle w:val="BlockLine"/>
        <w:spacing w:before="120"/>
        <w:ind w:left="1699"/>
        <w:rPr>
          <w:sz w:val="16"/>
          <w:szCs w:val="16"/>
        </w:rPr>
      </w:pPr>
    </w:p>
    <w:p w:rsidR="009F3948" w:rsidRPr="009F3948" w:rsidRDefault="009F3948" w:rsidP="003A6237">
      <w:pPr>
        <w:pStyle w:val="BlockLine"/>
        <w:spacing w:before="120"/>
        <w:ind w:left="0"/>
        <w:jc w:val="center"/>
      </w:pPr>
    </w:p>
    <w:sectPr w:rsidR="009F3948" w:rsidRPr="009F3948" w:rsidSect="00B32E72">
      <w:headerReference w:type="default" r:id="rId9"/>
      <w:pgSz w:w="12240" w:h="15840" w:code="1"/>
      <w:pgMar w:top="720" w:right="1152" w:bottom="360" w:left="1152" w:header="288" w:footer="63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366" w:rsidRDefault="00591366">
      <w:r>
        <w:separator/>
      </w:r>
    </w:p>
  </w:endnote>
  <w:endnote w:type="continuationSeparator" w:id="0">
    <w:p w:rsidR="00591366" w:rsidRDefault="005913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366" w:rsidRDefault="00591366">
      <w:r>
        <w:separator/>
      </w:r>
    </w:p>
  </w:footnote>
  <w:footnote w:type="continuationSeparator" w:id="0">
    <w:p w:rsidR="00591366" w:rsidRDefault="005913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3366"/>
      <w:gridCol w:w="3366"/>
      <w:gridCol w:w="3276"/>
    </w:tblGrid>
    <w:tr w:rsidR="002359CC" w:rsidTr="0017296B">
      <w:trPr>
        <w:cantSplit/>
      </w:trPr>
      <w:tc>
        <w:tcPr>
          <w:tcW w:w="3366" w:type="dxa"/>
          <w:tcBorders>
            <w:bottom w:val="double" w:sz="6" w:space="0" w:color="auto"/>
          </w:tcBorders>
        </w:tcPr>
        <w:p w:rsidR="002359CC" w:rsidRDefault="002359CC" w:rsidP="00372FDD">
          <w:pPr>
            <w:pStyle w:val="Header"/>
            <w:rPr>
              <w:b/>
              <w:sz w:val="20"/>
            </w:rPr>
          </w:pPr>
          <w:r>
            <w:rPr>
              <w:b/>
              <w:sz w:val="20"/>
            </w:rPr>
            <w:t>Calendar Year 2015</w:t>
          </w:r>
        </w:p>
      </w:tc>
      <w:tc>
        <w:tcPr>
          <w:tcW w:w="3366" w:type="dxa"/>
          <w:tcBorders>
            <w:bottom w:val="double" w:sz="6" w:space="0" w:color="auto"/>
          </w:tcBorders>
        </w:tcPr>
        <w:p w:rsidR="002359CC" w:rsidRDefault="002359CC" w:rsidP="00996AF5">
          <w:pPr>
            <w:pStyle w:val="Header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 xml:space="preserve">April </w:t>
          </w:r>
          <w:r w:rsidR="00996AF5">
            <w:rPr>
              <w:b/>
              <w:sz w:val="20"/>
            </w:rPr>
            <w:t>20</w:t>
          </w:r>
          <w:r>
            <w:rPr>
              <w:b/>
              <w:sz w:val="20"/>
            </w:rPr>
            <w:t>, 2015</w:t>
          </w:r>
        </w:p>
      </w:tc>
      <w:tc>
        <w:tcPr>
          <w:tcW w:w="3276" w:type="dxa"/>
          <w:tcBorders>
            <w:bottom w:val="double" w:sz="6" w:space="0" w:color="auto"/>
          </w:tcBorders>
        </w:tcPr>
        <w:p w:rsidR="002359CC" w:rsidRDefault="002359CC" w:rsidP="00996AF5">
          <w:pPr>
            <w:pStyle w:val="Header"/>
            <w:jc w:val="right"/>
            <w:rPr>
              <w:b/>
              <w:sz w:val="20"/>
            </w:rPr>
          </w:pPr>
          <w:r>
            <w:rPr>
              <w:b/>
              <w:sz w:val="20"/>
            </w:rPr>
            <w:t>Volume 2015-</w:t>
          </w:r>
          <w:r w:rsidR="00996AF5">
            <w:rPr>
              <w:b/>
              <w:sz w:val="20"/>
            </w:rPr>
            <w:t>04</w:t>
          </w:r>
        </w:p>
      </w:tc>
    </w:tr>
  </w:tbl>
  <w:p w:rsidR="002359CC" w:rsidRDefault="002359C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A4E76"/>
    <w:multiLevelType w:val="hybridMultilevel"/>
    <w:tmpl w:val="5AA0172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A8759B"/>
    <w:multiLevelType w:val="hybridMultilevel"/>
    <w:tmpl w:val="353230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096F41"/>
    <w:multiLevelType w:val="hybridMultilevel"/>
    <w:tmpl w:val="5FAA7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322CE"/>
    <w:multiLevelType w:val="hybridMultilevel"/>
    <w:tmpl w:val="EE92D78A"/>
    <w:lvl w:ilvl="0" w:tplc="0409000D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654C607D"/>
    <w:multiLevelType w:val="hybridMultilevel"/>
    <w:tmpl w:val="53100018"/>
    <w:lvl w:ilvl="0" w:tplc="63C8518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C397D46"/>
    <w:multiLevelType w:val="hybridMultilevel"/>
    <w:tmpl w:val="DC2AB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E851DA"/>
    <w:multiLevelType w:val="singleLevel"/>
    <w:tmpl w:val="C91A883A"/>
    <w:lvl w:ilvl="0">
      <w:start w:val="1"/>
      <w:numFmt w:val="decimal"/>
      <w:lvlText w:val="%1."/>
      <w:legacy w:legacy="1" w:legacySpace="0" w:legacyIndent="360"/>
      <w:lvlJc w:val="left"/>
      <w:pPr>
        <w:ind w:left="540" w:hanging="36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0C78"/>
    <w:rsid w:val="0000308D"/>
    <w:rsid w:val="000134A3"/>
    <w:rsid w:val="0001432B"/>
    <w:rsid w:val="00015610"/>
    <w:rsid w:val="000229A0"/>
    <w:rsid w:val="00022C10"/>
    <w:rsid w:val="000248B8"/>
    <w:rsid w:val="000301F5"/>
    <w:rsid w:val="00031810"/>
    <w:rsid w:val="000330E6"/>
    <w:rsid w:val="00037673"/>
    <w:rsid w:val="000516A3"/>
    <w:rsid w:val="00053D2A"/>
    <w:rsid w:val="00054BED"/>
    <w:rsid w:val="0006073F"/>
    <w:rsid w:val="000635CE"/>
    <w:rsid w:val="00063800"/>
    <w:rsid w:val="00066E45"/>
    <w:rsid w:val="00090054"/>
    <w:rsid w:val="00091739"/>
    <w:rsid w:val="00094E2F"/>
    <w:rsid w:val="000A3E0D"/>
    <w:rsid w:val="000A7EE2"/>
    <w:rsid w:val="000B17B7"/>
    <w:rsid w:val="000C620B"/>
    <w:rsid w:val="000C7055"/>
    <w:rsid w:val="000D0C78"/>
    <w:rsid w:val="000D713A"/>
    <w:rsid w:val="000E4259"/>
    <w:rsid w:val="000E56EC"/>
    <w:rsid w:val="000E6D38"/>
    <w:rsid w:val="000F5A08"/>
    <w:rsid w:val="000F68C9"/>
    <w:rsid w:val="001006DA"/>
    <w:rsid w:val="00105531"/>
    <w:rsid w:val="0010607C"/>
    <w:rsid w:val="00111132"/>
    <w:rsid w:val="00112639"/>
    <w:rsid w:val="00123B03"/>
    <w:rsid w:val="001434D8"/>
    <w:rsid w:val="00161B1E"/>
    <w:rsid w:val="00166819"/>
    <w:rsid w:val="0017285D"/>
    <w:rsid w:val="0017296B"/>
    <w:rsid w:val="00173748"/>
    <w:rsid w:val="00177EA1"/>
    <w:rsid w:val="00184A1D"/>
    <w:rsid w:val="001906D9"/>
    <w:rsid w:val="0019283C"/>
    <w:rsid w:val="0019385E"/>
    <w:rsid w:val="001A2715"/>
    <w:rsid w:val="001A3EA1"/>
    <w:rsid w:val="001B6B8C"/>
    <w:rsid w:val="001C3B20"/>
    <w:rsid w:val="001C416E"/>
    <w:rsid w:val="001C6B3E"/>
    <w:rsid w:val="001E07BF"/>
    <w:rsid w:val="001E0C15"/>
    <w:rsid w:val="001E47DD"/>
    <w:rsid w:val="001E5C91"/>
    <w:rsid w:val="001E676B"/>
    <w:rsid w:val="001F28FA"/>
    <w:rsid w:val="001F423F"/>
    <w:rsid w:val="00202B71"/>
    <w:rsid w:val="00210D5A"/>
    <w:rsid w:val="00217099"/>
    <w:rsid w:val="00223D02"/>
    <w:rsid w:val="002244EF"/>
    <w:rsid w:val="00224F21"/>
    <w:rsid w:val="00225F15"/>
    <w:rsid w:val="002359CC"/>
    <w:rsid w:val="00246724"/>
    <w:rsid w:val="00251987"/>
    <w:rsid w:val="00252CE0"/>
    <w:rsid w:val="00254C18"/>
    <w:rsid w:val="00282FE5"/>
    <w:rsid w:val="00285684"/>
    <w:rsid w:val="002875BF"/>
    <w:rsid w:val="00292042"/>
    <w:rsid w:val="0029360D"/>
    <w:rsid w:val="002A149C"/>
    <w:rsid w:val="002A562B"/>
    <w:rsid w:val="002B46AD"/>
    <w:rsid w:val="002B4AAF"/>
    <w:rsid w:val="002B69A0"/>
    <w:rsid w:val="002B7654"/>
    <w:rsid w:val="002C1D7B"/>
    <w:rsid w:val="002C7CC2"/>
    <w:rsid w:val="002D27FC"/>
    <w:rsid w:val="002D399D"/>
    <w:rsid w:val="002E7612"/>
    <w:rsid w:val="002F385B"/>
    <w:rsid w:val="002F7B7E"/>
    <w:rsid w:val="00312378"/>
    <w:rsid w:val="00315DB1"/>
    <w:rsid w:val="00324E82"/>
    <w:rsid w:val="00351CE2"/>
    <w:rsid w:val="00360170"/>
    <w:rsid w:val="003667F5"/>
    <w:rsid w:val="00366CBE"/>
    <w:rsid w:val="00372FDD"/>
    <w:rsid w:val="0037365F"/>
    <w:rsid w:val="0037715B"/>
    <w:rsid w:val="00385A63"/>
    <w:rsid w:val="00387A2A"/>
    <w:rsid w:val="00390FC5"/>
    <w:rsid w:val="003A6237"/>
    <w:rsid w:val="003A7585"/>
    <w:rsid w:val="003B09C4"/>
    <w:rsid w:val="003B1670"/>
    <w:rsid w:val="003B291C"/>
    <w:rsid w:val="003B3FDD"/>
    <w:rsid w:val="003C566C"/>
    <w:rsid w:val="003D56A6"/>
    <w:rsid w:val="00405CFF"/>
    <w:rsid w:val="00406F86"/>
    <w:rsid w:val="00413071"/>
    <w:rsid w:val="00414E17"/>
    <w:rsid w:val="00414E7F"/>
    <w:rsid w:val="00417205"/>
    <w:rsid w:val="0042279C"/>
    <w:rsid w:val="0042426D"/>
    <w:rsid w:val="00430920"/>
    <w:rsid w:val="00442174"/>
    <w:rsid w:val="0044520A"/>
    <w:rsid w:val="004520E7"/>
    <w:rsid w:val="00452279"/>
    <w:rsid w:val="00457EE5"/>
    <w:rsid w:val="004809FF"/>
    <w:rsid w:val="00486725"/>
    <w:rsid w:val="00487C09"/>
    <w:rsid w:val="004940F5"/>
    <w:rsid w:val="004A1C9B"/>
    <w:rsid w:val="004A280A"/>
    <w:rsid w:val="004A57F5"/>
    <w:rsid w:val="004A715D"/>
    <w:rsid w:val="004B7441"/>
    <w:rsid w:val="004C09DE"/>
    <w:rsid w:val="004C1931"/>
    <w:rsid w:val="004D5018"/>
    <w:rsid w:val="004D7523"/>
    <w:rsid w:val="004E5846"/>
    <w:rsid w:val="004E7B9F"/>
    <w:rsid w:val="0050233B"/>
    <w:rsid w:val="005045DC"/>
    <w:rsid w:val="00522691"/>
    <w:rsid w:val="00545EED"/>
    <w:rsid w:val="00552FDE"/>
    <w:rsid w:val="0056085F"/>
    <w:rsid w:val="00562AD7"/>
    <w:rsid w:val="00564691"/>
    <w:rsid w:val="00565BF7"/>
    <w:rsid w:val="005668A2"/>
    <w:rsid w:val="0057051A"/>
    <w:rsid w:val="0057239D"/>
    <w:rsid w:val="00575ECA"/>
    <w:rsid w:val="00580CFE"/>
    <w:rsid w:val="005826B8"/>
    <w:rsid w:val="00591366"/>
    <w:rsid w:val="005B055B"/>
    <w:rsid w:val="005B77B3"/>
    <w:rsid w:val="005C1612"/>
    <w:rsid w:val="005C2403"/>
    <w:rsid w:val="005D6F7B"/>
    <w:rsid w:val="005F1589"/>
    <w:rsid w:val="005F27CC"/>
    <w:rsid w:val="005F74B0"/>
    <w:rsid w:val="00603258"/>
    <w:rsid w:val="006065D5"/>
    <w:rsid w:val="006072DF"/>
    <w:rsid w:val="00610DBC"/>
    <w:rsid w:val="00612422"/>
    <w:rsid w:val="006161C2"/>
    <w:rsid w:val="00617CEE"/>
    <w:rsid w:val="00624F5A"/>
    <w:rsid w:val="00632AFF"/>
    <w:rsid w:val="00654A9F"/>
    <w:rsid w:val="006571A6"/>
    <w:rsid w:val="00664EF8"/>
    <w:rsid w:val="0066543B"/>
    <w:rsid w:val="0067229C"/>
    <w:rsid w:val="00674030"/>
    <w:rsid w:val="0068029E"/>
    <w:rsid w:val="0068152E"/>
    <w:rsid w:val="0068633E"/>
    <w:rsid w:val="00686D94"/>
    <w:rsid w:val="0069030B"/>
    <w:rsid w:val="00694514"/>
    <w:rsid w:val="00695190"/>
    <w:rsid w:val="0069555B"/>
    <w:rsid w:val="006A78B5"/>
    <w:rsid w:val="006B03F2"/>
    <w:rsid w:val="006B24C0"/>
    <w:rsid w:val="006B7109"/>
    <w:rsid w:val="006C3BEE"/>
    <w:rsid w:val="006D39A3"/>
    <w:rsid w:val="006D4B81"/>
    <w:rsid w:val="006D6877"/>
    <w:rsid w:val="006E152E"/>
    <w:rsid w:val="006E3E85"/>
    <w:rsid w:val="006F2F52"/>
    <w:rsid w:val="006F7107"/>
    <w:rsid w:val="006F7118"/>
    <w:rsid w:val="00712D1C"/>
    <w:rsid w:val="00714E52"/>
    <w:rsid w:val="00717F70"/>
    <w:rsid w:val="00722E34"/>
    <w:rsid w:val="00731DB0"/>
    <w:rsid w:val="00733F5D"/>
    <w:rsid w:val="0074416A"/>
    <w:rsid w:val="0074468D"/>
    <w:rsid w:val="00747E3C"/>
    <w:rsid w:val="00752949"/>
    <w:rsid w:val="00756442"/>
    <w:rsid w:val="00757BFB"/>
    <w:rsid w:val="00760382"/>
    <w:rsid w:val="00763AC0"/>
    <w:rsid w:val="007667FA"/>
    <w:rsid w:val="007750D1"/>
    <w:rsid w:val="00775DF4"/>
    <w:rsid w:val="0078110A"/>
    <w:rsid w:val="00781E0A"/>
    <w:rsid w:val="0078572B"/>
    <w:rsid w:val="0079072D"/>
    <w:rsid w:val="007A4B30"/>
    <w:rsid w:val="007A5CC5"/>
    <w:rsid w:val="007B4814"/>
    <w:rsid w:val="007C28D4"/>
    <w:rsid w:val="007D487C"/>
    <w:rsid w:val="007E5815"/>
    <w:rsid w:val="007F13CA"/>
    <w:rsid w:val="007F3A59"/>
    <w:rsid w:val="007F51A7"/>
    <w:rsid w:val="00801B20"/>
    <w:rsid w:val="00805277"/>
    <w:rsid w:val="00812B57"/>
    <w:rsid w:val="00813866"/>
    <w:rsid w:val="00826754"/>
    <w:rsid w:val="00827455"/>
    <w:rsid w:val="00836D7F"/>
    <w:rsid w:val="0084260A"/>
    <w:rsid w:val="00854331"/>
    <w:rsid w:val="008564C1"/>
    <w:rsid w:val="00857E9D"/>
    <w:rsid w:val="008600B8"/>
    <w:rsid w:val="00863351"/>
    <w:rsid w:val="008675DE"/>
    <w:rsid w:val="00872A79"/>
    <w:rsid w:val="008948EA"/>
    <w:rsid w:val="00895123"/>
    <w:rsid w:val="00895F02"/>
    <w:rsid w:val="0089615E"/>
    <w:rsid w:val="008B169A"/>
    <w:rsid w:val="008C2065"/>
    <w:rsid w:val="008C29E8"/>
    <w:rsid w:val="008C7C84"/>
    <w:rsid w:val="008D59B8"/>
    <w:rsid w:val="008E7826"/>
    <w:rsid w:val="008E79D8"/>
    <w:rsid w:val="00917C1C"/>
    <w:rsid w:val="009219E7"/>
    <w:rsid w:val="0092656E"/>
    <w:rsid w:val="00930133"/>
    <w:rsid w:val="00930697"/>
    <w:rsid w:val="00933FF6"/>
    <w:rsid w:val="00946E65"/>
    <w:rsid w:val="009540A7"/>
    <w:rsid w:val="009601E3"/>
    <w:rsid w:val="0096194D"/>
    <w:rsid w:val="009620BB"/>
    <w:rsid w:val="00972982"/>
    <w:rsid w:val="009733B7"/>
    <w:rsid w:val="00974C38"/>
    <w:rsid w:val="00976C71"/>
    <w:rsid w:val="00980911"/>
    <w:rsid w:val="00985EC7"/>
    <w:rsid w:val="00993D57"/>
    <w:rsid w:val="00996AF5"/>
    <w:rsid w:val="009B1406"/>
    <w:rsid w:val="009B7B23"/>
    <w:rsid w:val="009D22EB"/>
    <w:rsid w:val="009D3989"/>
    <w:rsid w:val="009E564C"/>
    <w:rsid w:val="009F0A22"/>
    <w:rsid w:val="009F3948"/>
    <w:rsid w:val="009F6827"/>
    <w:rsid w:val="009F766D"/>
    <w:rsid w:val="009F7AFD"/>
    <w:rsid w:val="009F7CC0"/>
    <w:rsid w:val="00A06FCC"/>
    <w:rsid w:val="00A1077D"/>
    <w:rsid w:val="00A12EDE"/>
    <w:rsid w:val="00A31266"/>
    <w:rsid w:val="00A317F9"/>
    <w:rsid w:val="00A33311"/>
    <w:rsid w:val="00A35C7F"/>
    <w:rsid w:val="00A4564F"/>
    <w:rsid w:val="00A5031A"/>
    <w:rsid w:val="00A56F6E"/>
    <w:rsid w:val="00A652B4"/>
    <w:rsid w:val="00A67421"/>
    <w:rsid w:val="00A72FF9"/>
    <w:rsid w:val="00A80AA5"/>
    <w:rsid w:val="00A822CE"/>
    <w:rsid w:val="00A829F4"/>
    <w:rsid w:val="00A850F9"/>
    <w:rsid w:val="00A87825"/>
    <w:rsid w:val="00AB405B"/>
    <w:rsid w:val="00AB6E16"/>
    <w:rsid w:val="00AD25BD"/>
    <w:rsid w:val="00AE0747"/>
    <w:rsid w:val="00AE0F14"/>
    <w:rsid w:val="00AE0F3B"/>
    <w:rsid w:val="00AF3823"/>
    <w:rsid w:val="00B00010"/>
    <w:rsid w:val="00B001A0"/>
    <w:rsid w:val="00B03090"/>
    <w:rsid w:val="00B07E95"/>
    <w:rsid w:val="00B11532"/>
    <w:rsid w:val="00B14904"/>
    <w:rsid w:val="00B17AF8"/>
    <w:rsid w:val="00B20211"/>
    <w:rsid w:val="00B20FF2"/>
    <w:rsid w:val="00B310A0"/>
    <w:rsid w:val="00B32E72"/>
    <w:rsid w:val="00B40842"/>
    <w:rsid w:val="00B41DA7"/>
    <w:rsid w:val="00B50F59"/>
    <w:rsid w:val="00B5220A"/>
    <w:rsid w:val="00B66358"/>
    <w:rsid w:val="00B6725E"/>
    <w:rsid w:val="00B73C39"/>
    <w:rsid w:val="00B768B2"/>
    <w:rsid w:val="00B77999"/>
    <w:rsid w:val="00B85542"/>
    <w:rsid w:val="00B87D23"/>
    <w:rsid w:val="00B900DE"/>
    <w:rsid w:val="00B92EAE"/>
    <w:rsid w:val="00B96A2D"/>
    <w:rsid w:val="00B97E16"/>
    <w:rsid w:val="00BC5A0C"/>
    <w:rsid w:val="00BC5E04"/>
    <w:rsid w:val="00BD43E3"/>
    <w:rsid w:val="00BE723D"/>
    <w:rsid w:val="00BF079C"/>
    <w:rsid w:val="00C033C7"/>
    <w:rsid w:val="00C07D38"/>
    <w:rsid w:val="00C120F3"/>
    <w:rsid w:val="00C15AC0"/>
    <w:rsid w:val="00C16BC2"/>
    <w:rsid w:val="00C20673"/>
    <w:rsid w:val="00C30F8D"/>
    <w:rsid w:val="00C32376"/>
    <w:rsid w:val="00C3320E"/>
    <w:rsid w:val="00C33BB1"/>
    <w:rsid w:val="00C344C5"/>
    <w:rsid w:val="00C41A4D"/>
    <w:rsid w:val="00C50FDD"/>
    <w:rsid w:val="00C705C4"/>
    <w:rsid w:val="00C90D0F"/>
    <w:rsid w:val="00C90DD6"/>
    <w:rsid w:val="00C91E35"/>
    <w:rsid w:val="00CB1F7A"/>
    <w:rsid w:val="00CB6BD9"/>
    <w:rsid w:val="00CC79DD"/>
    <w:rsid w:val="00CD041F"/>
    <w:rsid w:val="00CD3AC2"/>
    <w:rsid w:val="00CE0836"/>
    <w:rsid w:val="00CE3EAF"/>
    <w:rsid w:val="00CE425D"/>
    <w:rsid w:val="00CE5E54"/>
    <w:rsid w:val="00CF4033"/>
    <w:rsid w:val="00CF517B"/>
    <w:rsid w:val="00CF5444"/>
    <w:rsid w:val="00CF7D05"/>
    <w:rsid w:val="00D03A14"/>
    <w:rsid w:val="00D1529F"/>
    <w:rsid w:val="00D222BD"/>
    <w:rsid w:val="00D3279A"/>
    <w:rsid w:val="00D40EFC"/>
    <w:rsid w:val="00D44A6C"/>
    <w:rsid w:val="00D63C5C"/>
    <w:rsid w:val="00D65654"/>
    <w:rsid w:val="00D65ADA"/>
    <w:rsid w:val="00D91CF8"/>
    <w:rsid w:val="00D925A8"/>
    <w:rsid w:val="00D96E2A"/>
    <w:rsid w:val="00D97801"/>
    <w:rsid w:val="00DA3F47"/>
    <w:rsid w:val="00DA6523"/>
    <w:rsid w:val="00DB0B3E"/>
    <w:rsid w:val="00DB0F43"/>
    <w:rsid w:val="00DB29E4"/>
    <w:rsid w:val="00DB4641"/>
    <w:rsid w:val="00DB6291"/>
    <w:rsid w:val="00DD1147"/>
    <w:rsid w:val="00DE0FE3"/>
    <w:rsid w:val="00DE6011"/>
    <w:rsid w:val="00DF2CD4"/>
    <w:rsid w:val="00E00C7E"/>
    <w:rsid w:val="00E00E0A"/>
    <w:rsid w:val="00E11CBF"/>
    <w:rsid w:val="00E14F5C"/>
    <w:rsid w:val="00E2451F"/>
    <w:rsid w:val="00E30565"/>
    <w:rsid w:val="00E705A2"/>
    <w:rsid w:val="00E834E5"/>
    <w:rsid w:val="00E903AC"/>
    <w:rsid w:val="00E93D65"/>
    <w:rsid w:val="00E97CB7"/>
    <w:rsid w:val="00EA13B9"/>
    <w:rsid w:val="00EA22A4"/>
    <w:rsid w:val="00EA6DC1"/>
    <w:rsid w:val="00EB6D2F"/>
    <w:rsid w:val="00ED247F"/>
    <w:rsid w:val="00EE2DCF"/>
    <w:rsid w:val="00EE48EE"/>
    <w:rsid w:val="00EF26A6"/>
    <w:rsid w:val="00EF5850"/>
    <w:rsid w:val="00F04298"/>
    <w:rsid w:val="00F14B28"/>
    <w:rsid w:val="00F20AC6"/>
    <w:rsid w:val="00F22B94"/>
    <w:rsid w:val="00F2394F"/>
    <w:rsid w:val="00F26907"/>
    <w:rsid w:val="00F31162"/>
    <w:rsid w:val="00F3320E"/>
    <w:rsid w:val="00F33FE8"/>
    <w:rsid w:val="00F342E2"/>
    <w:rsid w:val="00F34A52"/>
    <w:rsid w:val="00F412C0"/>
    <w:rsid w:val="00F43DB3"/>
    <w:rsid w:val="00F44D1A"/>
    <w:rsid w:val="00F45A7B"/>
    <w:rsid w:val="00F53E39"/>
    <w:rsid w:val="00F54477"/>
    <w:rsid w:val="00F5656A"/>
    <w:rsid w:val="00F777C5"/>
    <w:rsid w:val="00F85231"/>
    <w:rsid w:val="00F87211"/>
    <w:rsid w:val="00F901F0"/>
    <w:rsid w:val="00F92BE9"/>
    <w:rsid w:val="00F93EE1"/>
    <w:rsid w:val="00F94FAF"/>
    <w:rsid w:val="00FA0FDD"/>
    <w:rsid w:val="00FA490C"/>
    <w:rsid w:val="00FA4CF0"/>
    <w:rsid w:val="00FA65B1"/>
    <w:rsid w:val="00FB2425"/>
    <w:rsid w:val="00FB4EFD"/>
    <w:rsid w:val="00FB52C4"/>
    <w:rsid w:val="00FC440D"/>
    <w:rsid w:val="00FC728A"/>
    <w:rsid w:val="00FD1318"/>
    <w:rsid w:val="00FE36AD"/>
    <w:rsid w:val="00FE69F7"/>
    <w:rsid w:val="00FE703E"/>
    <w:rsid w:val="00FF7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5846"/>
    <w:rPr>
      <w:sz w:val="24"/>
    </w:rPr>
  </w:style>
  <w:style w:type="paragraph" w:styleId="Heading1">
    <w:name w:val="heading 1"/>
    <w:aliases w:val="Part"/>
    <w:basedOn w:val="Normal"/>
    <w:next w:val="Heading2"/>
    <w:qFormat/>
    <w:rsid w:val="004E5846"/>
    <w:pPr>
      <w:spacing w:after="240"/>
      <w:jc w:val="center"/>
      <w:outlineLvl w:val="0"/>
    </w:pPr>
    <w:rPr>
      <w:rFonts w:ascii="Arial" w:hAnsi="Arial"/>
      <w:b/>
      <w:sz w:val="32"/>
    </w:rPr>
  </w:style>
  <w:style w:type="paragraph" w:styleId="Heading2">
    <w:name w:val="heading 2"/>
    <w:aliases w:val="Chapter Title"/>
    <w:basedOn w:val="Normal"/>
    <w:next w:val="Heading4"/>
    <w:qFormat/>
    <w:rsid w:val="004E5846"/>
    <w:pPr>
      <w:spacing w:after="240"/>
      <w:jc w:val="center"/>
      <w:outlineLvl w:val="1"/>
    </w:pPr>
    <w:rPr>
      <w:rFonts w:ascii="Arial" w:hAnsi="Arial"/>
      <w:b/>
      <w:sz w:val="32"/>
    </w:rPr>
  </w:style>
  <w:style w:type="paragraph" w:styleId="Heading3">
    <w:name w:val="heading 3"/>
    <w:aliases w:val="Section"/>
    <w:basedOn w:val="Normal"/>
    <w:next w:val="Heading4"/>
    <w:qFormat/>
    <w:rsid w:val="004E5846"/>
    <w:pPr>
      <w:spacing w:after="240"/>
      <w:jc w:val="center"/>
      <w:outlineLvl w:val="2"/>
    </w:pPr>
    <w:rPr>
      <w:rFonts w:ascii="Arial" w:hAnsi="Arial"/>
      <w:b/>
      <w:sz w:val="32"/>
    </w:rPr>
  </w:style>
  <w:style w:type="paragraph" w:styleId="Heading4">
    <w:name w:val="heading 4"/>
    <w:aliases w:val="Map Title"/>
    <w:basedOn w:val="Normal"/>
    <w:next w:val="Normal"/>
    <w:qFormat/>
    <w:rsid w:val="004E5846"/>
    <w:pPr>
      <w:spacing w:after="240"/>
      <w:outlineLvl w:val="3"/>
    </w:pPr>
    <w:rPr>
      <w:rFonts w:ascii="Arial" w:hAnsi="Arial"/>
    </w:rPr>
  </w:style>
  <w:style w:type="paragraph" w:styleId="Heading5">
    <w:name w:val="heading 5"/>
    <w:aliases w:val="Block Label"/>
    <w:basedOn w:val="Normal"/>
    <w:next w:val="Normal"/>
    <w:qFormat/>
    <w:rsid w:val="004E5846"/>
    <w:pPr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rsid w:val="004E5846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4E5846"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4E5846"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4E5846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E5846"/>
    <w:pPr>
      <w:tabs>
        <w:tab w:val="center" w:pos="4320"/>
        <w:tab w:val="right" w:pos="8640"/>
      </w:tabs>
    </w:pPr>
  </w:style>
  <w:style w:type="paragraph" w:styleId="MacroText">
    <w:name w:val="macro"/>
    <w:semiHidden/>
    <w:rsid w:val="004E584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customStyle="1" w:styleId="BlockLine">
    <w:name w:val="Block Line"/>
    <w:basedOn w:val="Normal"/>
    <w:next w:val="Normal"/>
    <w:rsid w:val="004E5846"/>
    <w:pPr>
      <w:pBdr>
        <w:top w:val="single" w:sz="6" w:space="1" w:color="auto"/>
        <w:between w:val="single" w:sz="6" w:space="1" w:color="auto"/>
      </w:pBdr>
      <w:spacing w:before="240"/>
      <w:ind w:left="1700"/>
    </w:pPr>
  </w:style>
  <w:style w:type="paragraph" w:styleId="BlockText">
    <w:name w:val="Block Text"/>
    <w:basedOn w:val="Normal"/>
    <w:rsid w:val="004E5846"/>
  </w:style>
  <w:style w:type="paragraph" w:customStyle="1" w:styleId="BulletText1">
    <w:name w:val="Bullet Text 1"/>
    <w:basedOn w:val="Normal"/>
    <w:rsid w:val="004E5846"/>
    <w:pPr>
      <w:ind w:left="187" w:hanging="187"/>
    </w:pPr>
  </w:style>
  <w:style w:type="paragraph" w:customStyle="1" w:styleId="BulletText2">
    <w:name w:val="Bullet Text 2"/>
    <w:basedOn w:val="BulletText1"/>
    <w:rsid w:val="004E5846"/>
    <w:pPr>
      <w:ind w:left="360"/>
    </w:pPr>
  </w:style>
  <w:style w:type="paragraph" w:customStyle="1" w:styleId="ContinuedOnNextPa">
    <w:name w:val="Continued On Next Pa"/>
    <w:basedOn w:val="BlockLine"/>
    <w:next w:val="Normal"/>
    <w:rsid w:val="00360170"/>
    <w:pPr>
      <w:pBdr>
        <w:top w:val="single" w:sz="6" w:space="0" w:color="auto"/>
      </w:pBdr>
      <w:spacing w:before="120"/>
      <w:ind w:left="1440"/>
      <w:jc w:val="right"/>
    </w:pPr>
    <w:rPr>
      <w:rFonts w:cs="Arial"/>
      <w:i/>
      <w:color w:val="000000"/>
      <w:sz w:val="16"/>
      <w:szCs w:val="16"/>
    </w:rPr>
  </w:style>
  <w:style w:type="paragraph" w:customStyle="1" w:styleId="ContinuedTableLabe">
    <w:name w:val="Continued Table Labe"/>
    <w:basedOn w:val="Heading4"/>
    <w:rsid w:val="0069030B"/>
    <w:rPr>
      <w:b/>
      <w:sz w:val="32"/>
    </w:rPr>
  </w:style>
  <w:style w:type="paragraph" w:customStyle="1" w:styleId="MapTitleContinued">
    <w:name w:val="Map Title. Continued"/>
    <w:basedOn w:val="Normal"/>
    <w:rsid w:val="004E5846"/>
    <w:pPr>
      <w:spacing w:after="240"/>
    </w:pPr>
    <w:rPr>
      <w:rFonts w:ascii="Helvetica" w:hAnsi="Helvetica"/>
      <w:b/>
      <w:sz w:val="32"/>
    </w:rPr>
  </w:style>
  <w:style w:type="paragraph" w:customStyle="1" w:styleId="MemoLine">
    <w:name w:val="Memo Line"/>
    <w:basedOn w:val="BlockLine"/>
    <w:next w:val="Normal"/>
    <w:rsid w:val="004E5846"/>
    <w:pPr>
      <w:ind w:left="0"/>
    </w:pPr>
  </w:style>
  <w:style w:type="paragraph" w:styleId="Footer">
    <w:name w:val="footer"/>
    <w:basedOn w:val="Normal"/>
    <w:rsid w:val="004E584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E5846"/>
  </w:style>
  <w:style w:type="paragraph" w:customStyle="1" w:styleId="TableText">
    <w:name w:val="Table Text"/>
    <w:basedOn w:val="Normal"/>
    <w:rsid w:val="004E5846"/>
  </w:style>
  <w:style w:type="paragraph" w:customStyle="1" w:styleId="NoteText">
    <w:name w:val="Note Text"/>
    <w:basedOn w:val="BlockText"/>
    <w:rsid w:val="004E5846"/>
  </w:style>
  <w:style w:type="paragraph" w:customStyle="1" w:styleId="TableHeaderText">
    <w:name w:val="Table Header Text"/>
    <w:basedOn w:val="TableText"/>
    <w:rsid w:val="004E5846"/>
    <w:pPr>
      <w:jc w:val="center"/>
    </w:pPr>
    <w:rPr>
      <w:b/>
    </w:rPr>
  </w:style>
  <w:style w:type="paragraph" w:customStyle="1" w:styleId="EmbeddedText">
    <w:name w:val="Embedded Text"/>
    <w:basedOn w:val="TableText"/>
    <w:rsid w:val="004E5846"/>
  </w:style>
  <w:style w:type="paragraph" w:styleId="TOC1">
    <w:name w:val="toc 1"/>
    <w:basedOn w:val="Normal"/>
    <w:next w:val="Normal"/>
    <w:semiHidden/>
    <w:rsid w:val="004E5846"/>
    <w:pPr>
      <w:tabs>
        <w:tab w:val="right" w:leader="dot" w:pos="10800"/>
      </w:tabs>
    </w:pPr>
  </w:style>
  <w:style w:type="paragraph" w:styleId="TOC2">
    <w:name w:val="toc 2"/>
    <w:basedOn w:val="Normal"/>
    <w:next w:val="Normal"/>
    <w:semiHidden/>
    <w:rsid w:val="004E5846"/>
    <w:pPr>
      <w:tabs>
        <w:tab w:val="right" w:leader="dot" w:pos="10800"/>
      </w:tabs>
      <w:ind w:left="240"/>
    </w:pPr>
  </w:style>
  <w:style w:type="paragraph" w:styleId="BodyText3">
    <w:name w:val="Body Text 3"/>
    <w:basedOn w:val="Normal"/>
    <w:rsid w:val="004E5846"/>
    <w:rPr>
      <w:b/>
      <w:sz w:val="18"/>
    </w:rPr>
  </w:style>
  <w:style w:type="paragraph" w:styleId="BodyText2">
    <w:name w:val="Body Text 2"/>
    <w:basedOn w:val="Normal"/>
    <w:rsid w:val="004E5846"/>
    <w:rPr>
      <w:b/>
      <w:sz w:val="16"/>
    </w:rPr>
  </w:style>
  <w:style w:type="paragraph" w:styleId="Title">
    <w:name w:val="Title"/>
    <w:basedOn w:val="Normal"/>
    <w:qFormat/>
    <w:rsid w:val="004E5846"/>
    <w:pPr>
      <w:tabs>
        <w:tab w:val="left" w:pos="900"/>
        <w:tab w:val="left" w:pos="1980"/>
        <w:tab w:val="left" w:pos="2880"/>
        <w:tab w:val="left" w:pos="4140"/>
        <w:tab w:val="left" w:pos="5040"/>
        <w:tab w:val="left" w:pos="6300"/>
        <w:tab w:val="left" w:pos="7200"/>
      </w:tabs>
      <w:jc w:val="center"/>
    </w:pPr>
    <w:rPr>
      <w:b/>
      <w:sz w:val="28"/>
    </w:rPr>
  </w:style>
  <w:style w:type="character" w:styleId="Hyperlink">
    <w:name w:val="Hyperlink"/>
    <w:basedOn w:val="DefaultParagraphFont"/>
    <w:rsid w:val="004E5846"/>
    <w:rPr>
      <w:color w:val="0000FF"/>
      <w:u w:val="single"/>
    </w:rPr>
  </w:style>
  <w:style w:type="paragraph" w:customStyle="1" w:styleId="Extmemo">
    <w:name w:val="Extmemo"/>
    <w:basedOn w:val="Normal"/>
    <w:rsid w:val="004E5846"/>
    <w:pPr>
      <w:spacing w:line="240" w:lineRule="exact"/>
    </w:pPr>
    <w:rPr>
      <w:rFonts w:ascii="Times" w:hAnsi="Times"/>
    </w:rPr>
  </w:style>
  <w:style w:type="paragraph" w:styleId="PlainText">
    <w:name w:val="Plain Text"/>
    <w:basedOn w:val="Normal"/>
    <w:rsid w:val="004E5846"/>
    <w:rPr>
      <w:rFonts w:ascii="Courier New" w:hAnsi="Courier New"/>
      <w:sz w:val="20"/>
    </w:rPr>
  </w:style>
  <w:style w:type="character" w:styleId="FollowedHyperlink">
    <w:name w:val="FollowedHyperlink"/>
    <w:basedOn w:val="DefaultParagraphFont"/>
    <w:rsid w:val="004E5846"/>
    <w:rPr>
      <w:color w:val="800080"/>
      <w:u w:val="single"/>
    </w:rPr>
  </w:style>
  <w:style w:type="paragraph" w:styleId="DocumentMap">
    <w:name w:val="Document Map"/>
    <w:basedOn w:val="Normal"/>
    <w:semiHidden/>
    <w:rsid w:val="004E5846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A652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608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link w:val="NormalWebChar"/>
    <w:rsid w:val="00CD3AC2"/>
    <w:pPr>
      <w:spacing w:before="100" w:beforeAutospacing="1" w:after="100" w:afterAutospacing="1"/>
    </w:pPr>
    <w:rPr>
      <w:szCs w:val="24"/>
    </w:rPr>
  </w:style>
  <w:style w:type="character" w:styleId="Emphasis">
    <w:name w:val="Emphasis"/>
    <w:basedOn w:val="DefaultParagraphFont"/>
    <w:qFormat/>
    <w:rsid w:val="00CD3AC2"/>
    <w:rPr>
      <w:i/>
      <w:iCs/>
    </w:rPr>
  </w:style>
  <w:style w:type="paragraph" w:styleId="NoSpacing">
    <w:name w:val="No Spacing"/>
    <w:basedOn w:val="Normal"/>
    <w:uiPriority w:val="1"/>
    <w:qFormat/>
    <w:rsid w:val="002B69A0"/>
    <w:rPr>
      <w:rFonts w:ascii="Calibri" w:eastAsia="Calibri" w:hAnsi="Calibri"/>
      <w:sz w:val="22"/>
      <w:szCs w:val="22"/>
    </w:rPr>
  </w:style>
  <w:style w:type="character" w:customStyle="1" w:styleId="NormalWebChar">
    <w:name w:val="Normal (Web) Char"/>
    <w:basedOn w:val="DefaultParagraphFont"/>
    <w:link w:val="NormalWeb"/>
    <w:rsid w:val="0074416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4416A"/>
    <w:pPr>
      <w:ind w:left="720"/>
    </w:pPr>
    <w:rPr>
      <w:rFonts w:ascii="Calibri" w:eastAsia="Calibri" w:hAnsi="Calibri"/>
      <w:sz w:val="22"/>
      <w:szCs w:val="22"/>
    </w:rPr>
  </w:style>
  <w:style w:type="paragraph" w:styleId="BodyText">
    <w:name w:val="Body Text"/>
    <w:basedOn w:val="Normal"/>
    <w:link w:val="BodyTextChar"/>
    <w:rsid w:val="0074416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4416A"/>
    <w:rPr>
      <w:sz w:val="24"/>
    </w:rPr>
  </w:style>
  <w:style w:type="paragraph" w:customStyle="1" w:styleId="Heading1ContinuedAfter8pt">
    <w:name w:val="Heading 1 Continued + After:  8 pt"/>
    <w:basedOn w:val="MapTitleContinued"/>
    <w:autoRedefine/>
    <w:qFormat/>
    <w:rsid w:val="00B20FF2"/>
    <w:pPr>
      <w:spacing w:before="120" w:after="120"/>
    </w:pPr>
    <w:rPr>
      <w:rFonts w:ascii="Times New Roman" w:hAnsi="Times New Roman"/>
      <w:bCs/>
      <w:noProof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8786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hy.mcgill@doa.virgini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TEMPLATE\INFOMA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BA10F-76CD-44D5-8DAD-5F9970E41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INFOMAP.DOT</Template>
  <TotalTime>2365</TotalTime>
  <Pages>1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Payroll Bulletin</vt:lpstr>
    </vt:vector>
  </TitlesOfParts>
  <Company>Virginia Department of Accounts</Company>
  <LinksUpToDate>false</LinksUpToDate>
  <CharactersWithSpaces>4506</CharactersWithSpaces>
  <SharedDoc>false</SharedDoc>
  <HLinks>
    <vt:vector size="48" baseType="variant">
      <vt:variant>
        <vt:i4>2621522</vt:i4>
      </vt:variant>
      <vt:variant>
        <vt:i4>18</vt:i4>
      </vt:variant>
      <vt:variant>
        <vt:i4>0</vt:i4>
      </vt:variant>
      <vt:variant>
        <vt:i4>5</vt:i4>
      </vt:variant>
      <vt:variant>
        <vt:lpwstr>mailto:payroll@doa.virginia.gov</vt:lpwstr>
      </vt:variant>
      <vt:variant>
        <vt:lpwstr/>
      </vt:variant>
      <vt:variant>
        <vt:i4>1114208</vt:i4>
      </vt:variant>
      <vt:variant>
        <vt:i4>15</vt:i4>
      </vt:variant>
      <vt:variant>
        <vt:i4>0</vt:i4>
      </vt:variant>
      <vt:variant>
        <vt:i4>5</vt:i4>
      </vt:variant>
      <vt:variant>
        <vt:lpwstr>http://www.doa.virginia.gov/Payroll/Training/Leave_Intro_Training/LEAVE_Intro_Training_Manual.cfm</vt:lpwstr>
      </vt:variant>
      <vt:variant>
        <vt:lpwstr/>
      </vt:variant>
      <vt:variant>
        <vt:i4>5242896</vt:i4>
      </vt:variant>
      <vt:variant>
        <vt:i4>12</vt:i4>
      </vt:variant>
      <vt:variant>
        <vt:i4>0</vt:i4>
      </vt:variant>
      <vt:variant>
        <vt:i4>5</vt:i4>
      </vt:variant>
      <vt:variant>
        <vt:lpwstr>http://www.doa.virginia.gov/Payroll/Training/CIPPS_Intro_Training/CIPPS_Training_Manual.cfm</vt:lpwstr>
      </vt:variant>
      <vt:variant>
        <vt:lpwstr/>
      </vt:variant>
      <vt:variant>
        <vt:i4>5242896</vt:i4>
      </vt:variant>
      <vt:variant>
        <vt:i4>9</vt:i4>
      </vt:variant>
      <vt:variant>
        <vt:i4>0</vt:i4>
      </vt:variant>
      <vt:variant>
        <vt:i4>5</vt:i4>
      </vt:variant>
      <vt:variant>
        <vt:lpwstr>http://www.doa.virginia.gov/Payroll/Training/CIPPS_Intro_Training/CIPPS_Training_Manual.cfm</vt:lpwstr>
      </vt:variant>
      <vt:variant>
        <vt:lpwstr/>
      </vt:variant>
      <vt:variant>
        <vt:i4>2621522</vt:i4>
      </vt:variant>
      <vt:variant>
        <vt:i4>6</vt:i4>
      </vt:variant>
      <vt:variant>
        <vt:i4>0</vt:i4>
      </vt:variant>
      <vt:variant>
        <vt:i4>5</vt:i4>
      </vt:variant>
      <vt:variant>
        <vt:lpwstr>mailto:payroll@doa.virginia.gov</vt:lpwstr>
      </vt:variant>
      <vt:variant>
        <vt:lpwstr/>
      </vt:variant>
      <vt:variant>
        <vt:i4>2818163</vt:i4>
      </vt:variant>
      <vt:variant>
        <vt:i4>3</vt:i4>
      </vt:variant>
      <vt:variant>
        <vt:i4>0</vt:i4>
      </vt:variant>
      <vt:variant>
        <vt:i4>5</vt:i4>
      </vt:variant>
      <vt:variant>
        <vt:lpwstr>https://covkc.virginia.gov/</vt:lpwstr>
      </vt:variant>
      <vt:variant>
        <vt:lpwstr/>
      </vt:variant>
      <vt:variant>
        <vt:i4>8061003</vt:i4>
      </vt:variant>
      <vt:variant>
        <vt:i4>0</vt:i4>
      </vt:variant>
      <vt:variant>
        <vt:i4>0</vt:i4>
      </vt:variant>
      <vt:variant>
        <vt:i4>5</vt:i4>
      </vt:variant>
      <vt:variant>
        <vt:lpwstr>mailto:cathy.mcgill@doa.virginia.gov</vt:lpwstr>
      </vt:variant>
      <vt:variant>
        <vt:lpwstr/>
      </vt:variant>
      <vt:variant>
        <vt:i4>6619207</vt:i4>
      </vt:variant>
      <vt:variant>
        <vt:i4>6</vt:i4>
      </vt:variant>
      <vt:variant>
        <vt:i4>0</vt:i4>
      </vt:variant>
      <vt:variant>
        <vt:i4>5</vt:i4>
      </vt:variant>
      <vt:variant>
        <vt:lpwstr>http://www.doa.virginia.gov/Payroll/Payroll_Bulletins/Payroll_Bulletins_Main.cfm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Payroll Bulletin 2015-04</dc:title>
  <dc:subject>Payroll Bulletin 2015-04</dc:subject>
  <dc:creator>Virginia Department of Accounts</dc:creator>
  <cp:keywords>Payroll Bulletin 2015-04</cp:keywords>
  <dc:description>Payroll Bulletin 2015-04</dc:description>
  <cp:lastModifiedBy>qtn58488</cp:lastModifiedBy>
  <cp:revision>28</cp:revision>
  <cp:lastPrinted>2015-04-20T16:27:00Z</cp:lastPrinted>
  <dcterms:created xsi:type="dcterms:W3CDTF">2015-02-12T20:26:00Z</dcterms:created>
  <dcterms:modified xsi:type="dcterms:W3CDTF">2015-04-20T19:04:00Z</dcterms:modified>
  <cp:category>Payroll Bulletin 2015-04</cp:category>
</cp:coreProperties>
</file>