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tblPr>
      <w:tblGrid>
        <w:gridCol w:w="3366"/>
        <w:gridCol w:w="3366"/>
        <w:gridCol w:w="3366"/>
      </w:tblGrid>
      <w:tr w:rsidR="00CF5444">
        <w:trPr>
          <w:cantSplit/>
        </w:trPr>
        <w:tc>
          <w:tcPr>
            <w:tcW w:w="3366" w:type="dxa"/>
            <w:tcBorders>
              <w:bottom w:val="double" w:sz="6" w:space="0" w:color="auto"/>
            </w:tcBorders>
          </w:tcPr>
          <w:p w:rsidR="00CF5444" w:rsidRDefault="00CF5444" w:rsidP="00595482">
            <w:pPr>
              <w:pStyle w:val="Header"/>
              <w:rPr>
                <w:b/>
                <w:sz w:val="20"/>
              </w:rPr>
            </w:pPr>
            <w:r>
              <w:rPr>
                <w:b/>
                <w:sz w:val="20"/>
              </w:rPr>
              <w:t>Calendar Year 20</w:t>
            </w:r>
            <w:r w:rsidR="00666FEE">
              <w:rPr>
                <w:b/>
                <w:sz w:val="20"/>
              </w:rPr>
              <w:t>1</w:t>
            </w:r>
            <w:r w:rsidR="00595482">
              <w:rPr>
                <w:b/>
                <w:sz w:val="20"/>
              </w:rPr>
              <w:t>5</w:t>
            </w:r>
          </w:p>
        </w:tc>
        <w:tc>
          <w:tcPr>
            <w:tcW w:w="3366" w:type="dxa"/>
            <w:tcBorders>
              <w:bottom w:val="double" w:sz="6" w:space="0" w:color="auto"/>
            </w:tcBorders>
          </w:tcPr>
          <w:p w:rsidR="00CF5444" w:rsidRDefault="00595482" w:rsidP="00AC21E2">
            <w:pPr>
              <w:pStyle w:val="Header"/>
              <w:jc w:val="center"/>
              <w:rPr>
                <w:b/>
                <w:sz w:val="20"/>
              </w:rPr>
            </w:pPr>
            <w:r>
              <w:rPr>
                <w:b/>
                <w:sz w:val="20"/>
              </w:rPr>
              <w:t>July</w:t>
            </w:r>
            <w:r w:rsidR="00666FEE">
              <w:rPr>
                <w:b/>
                <w:sz w:val="20"/>
              </w:rPr>
              <w:t xml:space="preserve"> </w:t>
            </w:r>
            <w:r>
              <w:rPr>
                <w:b/>
                <w:sz w:val="20"/>
              </w:rPr>
              <w:t>2</w:t>
            </w:r>
            <w:r w:rsidR="00AC21E2">
              <w:rPr>
                <w:b/>
                <w:sz w:val="20"/>
              </w:rPr>
              <w:t>4</w:t>
            </w:r>
            <w:r w:rsidR="00666FEE">
              <w:rPr>
                <w:b/>
                <w:sz w:val="20"/>
              </w:rPr>
              <w:t>, 201</w:t>
            </w:r>
            <w:r>
              <w:rPr>
                <w:b/>
                <w:sz w:val="20"/>
              </w:rPr>
              <w:t>5</w:t>
            </w:r>
          </w:p>
        </w:tc>
        <w:tc>
          <w:tcPr>
            <w:tcW w:w="3366" w:type="dxa"/>
            <w:tcBorders>
              <w:bottom w:val="double" w:sz="6" w:space="0" w:color="auto"/>
            </w:tcBorders>
          </w:tcPr>
          <w:p w:rsidR="00CF5444" w:rsidRDefault="00CF5444" w:rsidP="007A1CB6">
            <w:pPr>
              <w:pStyle w:val="Header"/>
              <w:jc w:val="right"/>
              <w:rPr>
                <w:b/>
                <w:sz w:val="20"/>
              </w:rPr>
            </w:pPr>
            <w:r>
              <w:rPr>
                <w:b/>
                <w:sz w:val="20"/>
              </w:rPr>
              <w:t>Volume 20</w:t>
            </w:r>
            <w:r w:rsidR="00666FEE">
              <w:rPr>
                <w:b/>
                <w:sz w:val="20"/>
              </w:rPr>
              <w:t>1</w:t>
            </w:r>
            <w:r w:rsidR="00595482">
              <w:rPr>
                <w:b/>
                <w:sz w:val="20"/>
              </w:rPr>
              <w:t>5</w:t>
            </w:r>
            <w:r>
              <w:rPr>
                <w:b/>
                <w:sz w:val="20"/>
              </w:rPr>
              <w:t>-</w:t>
            </w:r>
            <w:r w:rsidR="007A1CB6">
              <w:rPr>
                <w:b/>
                <w:sz w:val="20"/>
              </w:rPr>
              <w:t>08</w:t>
            </w:r>
          </w:p>
        </w:tc>
      </w:tr>
    </w:tbl>
    <w:p w:rsidR="00CF5444" w:rsidRDefault="00CF5444">
      <w:pPr>
        <w:tabs>
          <w:tab w:val="left" w:pos="990"/>
        </w:tabs>
        <w:jc w:val="center"/>
      </w:pPr>
    </w:p>
    <w:p w:rsidR="00AC21E2" w:rsidRDefault="00AC21E2"/>
    <w:tbl>
      <w:tblPr>
        <w:tblW w:w="0" w:type="auto"/>
        <w:tblLook w:val="01E0"/>
      </w:tblPr>
      <w:tblGrid>
        <w:gridCol w:w="2245"/>
        <w:gridCol w:w="4112"/>
        <w:gridCol w:w="3795"/>
      </w:tblGrid>
      <w:tr w:rsidR="0056085F" w:rsidTr="00014DB8">
        <w:tc>
          <w:tcPr>
            <w:tcW w:w="2245" w:type="dxa"/>
          </w:tcPr>
          <w:p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rsidR="0056085F" w:rsidRPr="00014DB8" w:rsidRDefault="0056085F" w:rsidP="00014DB8">
            <w:pPr>
              <w:spacing w:before="120"/>
              <w:rPr>
                <w:b/>
              </w:rPr>
            </w:pPr>
          </w:p>
        </w:tc>
        <w:tc>
          <w:tcPr>
            <w:tcW w:w="4112" w:type="dxa"/>
          </w:tcPr>
          <w:p w:rsidR="00AC2383" w:rsidRPr="00AC21E2" w:rsidRDefault="00AC2383" w:rsidP="00014DB8">
            <w:pPr>
              <w:numPr>
                <w:ilvl w:val="0"/>
                <w:numId w:val="2"/>
              </w:numPr>
              <w:tabs>
                <w:tab w:val="left" w:pos="990"/>
              </w:tabs>
              <w:spacing w:before="60"/>
              <w:ind w:left="547"/>
              <w:rPr>
                <w:b/>
                <w:sz w:val="20"/>
              </w:rPr>
            </w:pPr>
            <w:r w:rsidRPr="00AC21E2">
              <w:rPr>
                <w:b/>
                <w:sz w:val="20"/>
              </w:rPr>
              <w:t xml:space="preserve">General Guidelines for </w:t>
            </w:r>
            <w:r w:rsidR="00595482" w:rsidRPr="00AC21E2">
              <w:rPr>
                <w:b/>
                <w:sz w:val="20"/>
              </w:rPr>
              <w:t>August 2015 Salary Increase</w:t>
            </w:r>
          </w:p>
          <w:p w:rsidR="00FD187D" w:rsidRPr="00AC21E2" w:rsidRDefault="00FD187D" w:rsidP="00FD187D">
            <w:pPr>
              <w:pStyle w:val="MapTitleContinued"/>
              <w:numPr>
                <w:ilvl w:val="0"/>
                <w:numId w:val="2"/>
              </w:numPr>
              <w:spacing w:after="0"/>
              <w:outlineLvl w:val="0"/>
              <w:rPr>
                <w:rFonts w:ascii="Times New Roman" w:hAnsi="Times New Roman"/>
                <w:sz w:val="20"/>
              </w:rPr>
            </w:pPr>
            <w:r w:rsidRPr="00AC21E2">
              <w:rPr>
                <w:rFonts w:ascii="Times New Roman" w:hAnsi="Times New Roman"/>
                <w:sz w:val="20"/>
              </w:rPr>
              <w:t>Hybrid Request For Adjustment Review Form</w:t>
            </w:r>
          </w:p>
          <w:p w:rsidR="00FD187D" w:rsidRPr="00AC21E2" w:rsidRDefault="00FD187D" w:rsidP="00FD187D">
            <w:pPr>
              <w:pStyle w:val="MapTitleContinued"/>
              <w:numPr>
                <w:ilvl w:val="0"/>
                <w:numId w:val="2"/>
              </w:numPr>
              <w:spacing w:after="0"/>
              <w:outlineLvl w:val="0"/>
              <w:rPr>
                <w:rFonts w:ascii="Times New Roman" w:hAnsi="Times New Roman"/>
                <w:sz w:val="20"/>
              </w:rPr>
            </w:pPr>
            <w:r w:rsidRPr="00AC21E2">
              <w:rPr>
                <w:rFonts w:ascii="Times New Roman" w:hAnsi="Times New Roman"/>
                <w:sz w:val="20"/>
              </w:rPr>
              <w:t>Deduction Refunds: Employer along with Employee</w:t>
            </w:r>
          </w:p>
          <w:p w:rsidR="00AA24CF" w:rsidRPr="00AC21E2" w:rsidRDefault="002F6315" w:rsidP="00AA24CF">
            <w:pPr>
              <w:pStyle w:val="MapTitleContinued"/>
              <w:numPr>
                <w:ilvl w:val="0"/>
                <w:numId w:val="2"/>
              </w:numPr>
              <w:spacing w:after="0"/>
              <w:outlineLvl w:val="0"/>
              <w:rPr>
                <w:rFonts w:ascii="Times New Roman" w:hAnsi="Times New Roman"/>
                <w:sz w:val="20"/>
              </w:rPr>
            </w:pPr>
            <w:r w:rsidRPr="00AC21E2">
              <w:rPr>
                <w:rFonts w:ascii="Times New Roman" w:hAnsi="Times New Roman"/>
                <w:sz w:val="20"/>
              </w:rPr>
              <w:t>Weight Watcher Reimbursements – New Schedule</w:t>
            </w:r>
          </w:p>
          <w:p w:rsidR="00625AD5" w:rsidRPr="00AC21E2" w:rsidRDefault="00625AD5" w:rsidP="00AA24CF">
            <w:pPr>
              <w:pStyle w:val="MapTitleContinued"/>
              <w:numPr>
                <w:ilvl w:val="0"/>
                <w:numId w:val="2"/>
              </w:numPr>
              <w:spacing w:after="0"/>
              <w:outlineLvl w:val="0"/>
              <w:rPr>
                <w:rFonts w:ascii="Times New Roman" w:hAnsi="Times New Roman"/>
                <w:sz w:val="20"/>
              </w:rPr>
            </w:pPr>
            <w:r w:rsidRPr="00AC21E2">
              <w:rPr>
                <w:rFonts w:ascii="Times New Roman" w:hAnsi="Times New Roman"/>
                <w:bCs/>
                <w:sz w:val="20"/>
              </w:rPr>
              <w:t>Reminder: Overtime Payment Audit Report</w:t>
            </w:r>
          </w:p>
          <w:p w:rsidR="00E64B6B" w:rsidRPr="00AC21E2" w:rsidRDefault="00E64B6B" w:rsidP="00E64B6B">
            <w:pPr>
              <w:pStyle w:val="MapTitleContinued"/>
              <w:numPr>
                <w:ilvl w:val="0"/>
                <w:numId w:val="2"/>
              </w:numPr>
              <w:spacing w:after="0"/>
              <w:outlineLvl w:val="0"/>
              <w:rPr>
                <w:rFonts w:ascii="Times New Roman" w:hAnsi="Times New Roman"/>
                <w:sz w:val="20"/>
              </w:rPr>
            </w:pPr>
            <w:r w:rsidRPr="00AC21E2">
              <w:rPr>
                <w:rFonts w:ascii="Times New Roman" w:hAnsi="Times New Roman"/>
                <w:sz w:val="20"/>
              </w:rPr>
              <w:t>Reminder: Deferred Comp/Annuity Deductions from WC/STD-WC Benefits</w:t>
            </w:r>
          </w:p>
          <w:p w:rsidR="00AC21E2" w:rsidRPr="00AC21E2" w:rsidRDefault="00AC21E2" w:rsidP="00AC21E2">
            <w:pPr>
              <w:pStyle w:val="ListParagraph"/>
              <w:numPr>
                <w:ilvl w:val="0"/>
                <w:numId w:val="2"/>
              </w:numPr>
              <w:rPr>
                <w:b/>
                <w:sz w:val="20"/>
              </w:rPr>
            </w:pPr>
            <w:r w:rsidRPr="00AC21E2">
              <w:rPr>
                <w:b/>
                <w:sz w:val="20"/>
              </w:rPr>
              <w:t>Best Practice: Healthcare Payment from LWOP / WTA Employees</w:t>
            </w:r>
          </w:p>
          <w:p w:rsidR="00E64B6B" w:rsidRPr="00AC21E2" w:rsidRDefault="00E64B6B" w:rsidP="00082E11">
            <w:pPr>
              <w:pStyle w:val="MapTitleContinued"/>
              <w:spacing w:after="0"/>
              <w:ind w:left="540"/>
              <w:outlineLvl w:val="0"/>
              <w:rPr>
                <w:rFonts w:ascii="Times New Roman" w:hAnsi="Times New Roman"/>
                <w:sz w:val="20"/>
              </w:rPr>
            </w:pPr>
          </w:p>
        </w:tc>
        <w:tc>
          <w:tcPr>
            <w:tcW w:w="3795" w:type="dxa"/>
          </w:tcPr>
          <w:p w:rsidR="0056085F" w:rsidRPr="00014DB8" w:rsidRDefault="0056085F" w:rsidP="00014DB8">
            <w:pPr>
              <w:tabs>
                <w:tab w:val="left" w:pos="990"/>
              </w:tabs>
              <w:spacing w:before="120"/>
              <w:rPr>
                <w:sz w:val="20"/>
              </w:rPr>
            </w:pPr>
            <w:r w:rsidRPr="00014DB8">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014DB8">
                <w:rPr>
                  <w:rStyle w:val="Hyperlink"/>
                  <w:sz w:val="20"/>
                </w:rPr>
                <w:t>cathy.mcgill@doa.virginia.gov</w:t>
              </w:r>
            </w:hyperlink>
          </w:p>
          <w:p w:rsidR="0056085F" w:rsidRPr="00014DB8" w:rsidRDefault="0056085F" w:rsidP="00014DB8">
            <w:pPr>
              <w:tabs>
                <w:tab w:val="left" w:pos="990"/>
              </w:tabs>
              <w:spacing w:before="120"/>
              <w:jc w:val="both"/>
              <w:rPr>
                <w:sz w:val="20"/>
                <w:u w:val="single"/>
              </w:rPr>
            </w:pPr>
            <w:r w:rsidRPr="00014DB8">
              <w:rPr>
                <w:sz w:val="20"/>
                <w:u w:val="single"/>
              </w:rPr>
              <w:t>State Payroll Operations</w:t>
            </w:r>
          </w:p>
          <w:p w:rsidR="0056085F" w:rsidRPr="00014DB8" w:rsidRDefault="0056085F" w:rsidP="00014DB8">
            <w:pPr>
              <w:tabs>
                <w:tab w:val="left" w:pos="990"/>
              </w:tabs>
              <w:spacing w:before="120"/>
              <w:rPr>
                <w:sz w:val="20"/>
              </w:rPr>
            </w:pPr>
            <w:r w:rsidRPr="00014DB8">
              <w:rPr>
                <w:b/>
                <w:sz w:val="20"/>
              </w:rPr>
              <w:t>Director                         Lora L. George</w:t>
            </w:r>
          </w:p>
          <w:p w:rsidR="0056085F" w:rsidRPr="00014DB8" w:rsidRDefault="0056085F" w:rsidP="00014DB8">
            <w:pPr>
              <w:tabs>
                <w:tab w:val="left" w:pos="990"/>
              </w:tabs>
              <w:spacing w:before="120"/>
              <w:rPr>
                <w:szCs w:val="24"/>
              </w:rPr>
            </w:pPr>
            <w:r w:rsidRPr="00014DB8">
              <w:rPr>
                <w:sz w:val="20"/>
              </w:rPr>
              <w:t>Assistant Director          Cathy C. McGill</w:t>
            </w:r>
          </w:p>
        </w:tc>
      </w:tr>
    </w:tbl>
    <w:p w:rsidR="005B3E5E" w:rsidRDefault="005B3E5E" w:rsidP="005B3E5E">
      <w:pPr>
        <w:pStyle w:val="BlockLine"/>
        <w:spacing w:before="120"/>
        <w:ind w:left="1627"/>
      </w:pPr>
    </w:p>
    <w:p w:rsidR="00AC2383" w:rsidRPr="00EF2B82" w:rsidRDefault="00AC2383" w:rsidP="00AC2383">
      <w:pPr>
        <w:pStyle w:val="MapTitleContinued"/>
        <w:spacing w:after="0"/>
        <w:outlineLvl w:val="0"/>
        <w:rPr>
          <w:rFonts w:ascii="Times New Roman" w:hAnsi="Times New Roman"/>
          <w:sz w:val="28"/>
          <w:szCs w:val="28"/>
        </w:rPr>
      </w:pPr>
      <w:r>
        <w:t xml:space="preserve"> </w:t>
      </w:r>
      <w:r w:rsidRPr="00EF2B82">
        <w:rPr>
          <w:rFonts w:ascii="Times New Roman" w:hAnsi="Times New Roman"/>
          <w:sz w:val="28"/>
          <w:szCs w:val="28"/>
        </w:rPr>
        <w:t xml:space="preserve">General Guidelines for </w:t>
      </w:r>
      <w:r w:rsidR="008601F2">
        <w:rPr>
          <w:rFonts w:ascii="Times New Roman" w:hAnsi="Times New Roman"/>
          <w:sz w:val="28"/>
          <w:szCs w:val="28"/>
        </w:rPr>
        <w:t>August 2015 Salary Increase</w:t>
      </w:r>
    </w:p>
    <w:p w:rsidR="00CE2BF4" w:rsidRDefault="00CE2BF4" w:rsidP="005B3E5E">
      <w:pPr>
        <w:pStyle w:val="BlockLine"/>
        <w:spacing w:before="120"/>
        <w:ind w:left="1627"/>
      </w:pPr>
    </w:p>
    <w:tbl>
      <w:tblPr>
        <w:tblW w:w="10188" w:type="dxa"/>
        <w:tblLayout w:type="fixed"/>
        <w:tblLook w:val="0000"/>
      </w:tblPr>
      <w:tblGrid>
        <w:gridCol w:w="1818"/>
        <w:gridCol w:w="8370"/>
      </w:tblGrid>
      <w:tr w:rsidR="00CE2BF4" w:rsidTr="009170A0">
        <w:trPr>
          <w:cantSplit/>
        </w:trPr>
        <w:tc>
          <w:tcPr>
            <w:tcW w:w="1818" w:type="dxa"/>
          </w:tcPr>
          <w:p w:rsidR="00CE2BF4" w:rsidRDefault="00AC2383" w:rsidP="00AC2383">
            <w:pPr>
              <w:pStyle w:val="Heading5"/>
            </w:pPr>
            <w:r>
              <w:rPr>
                <w:rFonts w:ascii="Times New Roman Bold" w:hAnsi="Times New Roman Bold"/>
                <w:bCs/>
                <w:sz w:val="24"/>
                <w:szCs w:val="24"/>
              </w:rPr>
              <w:t>DHRM Policy and Guidance</w:t>
            </w:r>
            <w:r>
              <w:t xml:space="preserve"> </w:t>
            </w:r>
          </w:p>
        </w:tc>
        <w:tc>
          <w:tcPr>
            <w:tcW w:w="8370" w:type="dxa"/>
          </w:tcPr>
          <w:p w:rsidR="00AC2383" w:rsidRDefault="00AC2383" w:rsidP="00AC2383">
            <w:pPr>
              <w:autoSpaceDE w:val="0"/>
              <w:autoSpaceDN w:val="0"/>
              <w:adjustRightInd w:val="0"/>
              <w:rPr>
                <w:rFonts w:cs="Arial Black"/>
                <w:szCs w:val="24"/>
              </w:rPr>
            </w:pPr>
            <w:r>
              <w:rPr>
                <w:rFonts w:cs="Arial Black"/>
                <w:szCs w:val="24"/>
              </w:rPr>
              <w:t xml:space="preserve">The Department of Human Resource Management distributed a memorandum dated </w:t>
            </w:r>
            <w:r w:rsidR="007A6CA6">
              <w:rPr>
                <w:rFonts w:cs="Arial Black"/>
                <w:szCs w:val="24"/>
              </w:rPr>
              <w:t>May 4, 2015</w:t>
            </w:r>
            <w:r w:rsidR="001E3CD4">
              <w:rPr>
                <w:rFonts w:cs="Arial Black"/>
                <w:szCs w:val="24"/>
              </w:rPr>
              <w:t>,</w:t>
            </w:r>
            <w:r>
              <w:rPr>
                <w:rFonts w:cs="Arial Black"/>
                <w:szCs w:val="24"/>
              </w:rPr>
              <w:t xml:space="preserve"> entitled Fiscal Year 201</w:t>
            </w:r>
            <w:r w:rsidR="007A6CA6">
              <w:rPr>
                <w:rFonts w:cs="Arial Black"/>
                <w:szCs w:val="24"/>
              </w:rPr>
              <w:t>6</w:t>
            </w:r>
            <w:r>
              <w:rPr>
                <w:rFonts w:cs="Arial Black"/>
                <w:szCs w:val="24"/>
              </w:rPr>
              <w:t xml:space="preserve"> Authorizati</w:t>
            </w:r>
            <w:r w:rsidR="007410A9">
              <w:rPr>
                <w:rFonts w:cs="Arial Black"/>
                <w:szCs w:val="24"/>
              </w:rPr>
              <w:t>ons and Compensation Activities</w:t>
            </w:r>
            <w:r>
              <w:rPr>
                <w:rFonts w:cs="Arial Black"/>
                <w:szCs w:val="24"/>
              </w:rPr>
              <w:t>.  Within this document DHRM provides an explanation of the policies related to the</w:t>
            </w:r>
            <w:r w:rsidR="007A6CA6">
              <w:rPr>
                <w:rFonts w:cs="Arial Black"/>
                <w:szCs w:val="24"/>
              </w:rPr>
              <w:t xml:space="preserve"> August salary increase.  </w:t>
            </w:r>
            <w:r>
              <w:rPr>
                <w:rFonts w:cs="Arial Black"/>
                <w:szCs w:val="24"/>
              </w:rPr>
              <w:t>Additionally</w:t>
            </w:r>
            <w:r w:rsidR="001E3CD4">
              <w:rPr>
                <w:rFonts w:cs="Arial Black"/>
                <w:szCs w:val="24"/>
              </w:rPr>
              <w:t>,</w:t>
            </w:r>
            <w:r>
              <w:rPr>
                <w:rFonts w:cs="Arial Black"/>
                <w:szCs w:val="24"/>
              </w:rPr>
              <w:t xml:space="preserve"> DHRM </w:t>
            </w:r>
            <w:r w:rsidR="007A6CA6">
              <w:rPr>
                <w:rFonts w:cs="Arial Black"/>
                <w:szCs w:val="24"/>
              </w:rPr>
              <w:t>has provided</w:t>
            </w:r>
            <w:r>
              <w:rPr>
                <w:rFonts w:cs="Arial Black"/>
                <w:szCs w:val="24"/>
              </w:rPr>
              <w:t xml:space="preserve"> more information in the form of Frequently Asked Questions</w:t>
            </w:r>
            <w:r w:rsidR="007A6CA6">
              <w:rPr>
                <w:rFonts w:cs="Arial Black"/>
                <w:szCs w:val="24"/>
              </w:rPr>
              <w:t>, a Quick Reference Guide and an Employee Communication Guide</w:t>
            </w:r>
            <w:r>
              <w:rPr>
                <w:rFonts w:cs="Arial Black"/>
                <w:szCs w:val="24"/>
              </w:rPr>
              <w:t>.</w:t>
            </w:r>
          </w:p>
          <w:p w:rsidR="007A6CA6" w:rsidRDefault="007A6CA6" w:rsidP="00AC2383">
            <w:pPr>
              <w:autoSpaceDE w:val="0"/>
              <w:autoSpaceDN w:val="0"/>
              <w:adjustRightInd w:val="0"/>
            </w:pPr>
          </w:p>
          <w:p w:rsidR="007A6CA6" w:rsidRDefault="001B4798" w:rsidP="00AC2383">
            <w:pPr>
              <w:autoSpaceDE w:val="0"/>
              <w:autoSpaceDN w:val="0"/>
              <w:adjustRightInd w:val="0"/>
            </w:pPr>
            <w:hyperlink r:id="rId8" w:history="1">
              <w:r w:rsidR="007A6CA6" w:rsidRPr="00AE0411">
                <w:rPr>
                  <w:rStyle w:val="Hyperlink"/>
                </w:rPr>
                <w:t>http://www.dhrm.virginia.gov/agencyhumanresourceservices/compensationmemos</w:t>
              </w:r>
            </w:hyperlink>
            <w:r w:rsidR="007A6CA6">
              <w:t xml:space="preserve"> </w:t>
            </w:r>
          </w:p>
          <w:p w:rsidR="00CE2BF4" w:rsidRDefault="00CE2BF4" w:rsidP="00AC2383">
            <w:pPr>
              <w:tabs>
                <w:tab w:val="left" w:pos="1440"/>
                <w:tab w:val="left" w:pos="2520"/>
              </w:tabs>
              <w:jc w:val="both"/>
            </w:pPr>
          </w:p>
        </w:tc>
      </w:tr>
    </w:tbl>
    <w:p w:rsidR="00700615" w:rsidRPr="005B3E5E" w:rsidRDefault="00700615" w:rsidP="005B3E5E">
      <w:pPr>
        <w:pStyle w:val="BlockLine"/>
        <w:spacing w:before="120"/>
        <w:ind w:left="1627"/>
        <w:rPr>
          <w:sz w:val="20"/>
        </w:rPr>
      </w:pPr>
    </w:p>
    <w:tbl>
      <w:tblPr>
        <w:tblW w:w="10188" w:type="dxa"/>
        <w:tblLayout w:type="fixed"/>
        <w:tblLook w:val="0000"/>
      </w:tblPr>
      <w:tblGrid>
        <w:gridCol w:w="1818"/>
        <w:gridCol w:w="8370"/>
      </w:tblGrid>
      <w:tr w:rsidR="00FB28AA" w:rsidTr="009170A0">
        <w:trPr>
          <w:cantSplit/>
        </w:trPr>
        <w:tc>
          <w:tcPr>
            <w:tcW w:w="1818" w:type="dxa"/>
          </w:tcPr>
          <w:p w:rsidR="00FB28AA" w:rsidRDefault="00FB28AA" w:rsidP="00484094">
            <w:pPr>
              <w:pStyle w:val="Heading5"/>
            </w:pPr>
            <w:r>
              <w:rPr>
                <w:rFonts w:ascii="Times New Roman Bold" w:hAnsi="Times New Roman Bold"/>
                <w:b w:val="0"/>
                <w:szCs w:val="24"/>
              </w:rPr>
              <w:t>Agencies Using PMIS</w:t>
            </w:r>
          </w:p>
        </w:tc>
        <w:tc>
          <w:tcPr>
            <w:tcW w:w="8370" w:type="dxa"/>
          </w:tcPr>
          <w:p w:rsidR="00FB28AA" w:rsidRDefault="00FB28AA" w:rsidP="004072E7">
            <w:pPr>
              <w:autoSpaceDE w:val="0"/>
              <w:autoSpaceDN w:val="0"/>
              <w:adjustRightInd w:val="0"/>
              <w:rPr>
                <w:iCs/>
                <w:szCs w:val="24"/>
              </w:rPr>
            </w:pPr>
            <w:r>
              <w:t>For those agencies that enter data into PMIS, DHRM will produce a file for use</w:t>
            </w:r>
            <w:r w:rsidR="005F11CB">
              <w:t xml:space="preserve"> in DOA’s “salary regrade” program in lieu of the daily CIPPS to PMIS interface</w:t>
            </w:r>
            <w:r w:rsidR="003857CD">
              <w:rPr>
                <w:iCs/>
                <w:szCs w:val="24"/>
              </w:rPr>
              <w:t>.</w:t>
            </w:r>
            <w:r w:rsidR="005F11CB">
              <w:rPr>
                <w:iCs/>
                <w:szCs w:val="24"/>
              </w:rPr>
              <w:t xml:space="preserve">  This program will create transactions to update </w:t>
            </w:r>
            <w:r w:rsidR="004072E7">
              <w:rPr>
                <w:iCs/>
                <w:szCs w:val="24"/>
              </w:rPr>
              <w:t xml:space="preserve">the pay period amount and date of last pay change on H0BID along with updating the IMP LIFE (SP 14) amount on H10AS.  The </w:t>
            </w:r>
            <w:r w:rsidR="00FD187D" w:rsidRPr="00FD187D">
              <w:rPr>
                <w:color w:val="000000"/>
                <w:szCs w:val="24"/>
              </w:rPr>
              <w:t>CONTBASE</w:t>
            </w:r>
            <w:r w:rsidR="00FD187D">
              <w:rPr>
                <w:rFonts w:ascii="Tahoma" w:hAnsi="Tahoma" w:cs="Tahoma"/>
                <w:color w:val="000000"/>
                <w:sz w:val="20"/>
              </w:rPr>
              <w:t xml:space="preserve"> </w:t>
            </w:r>
            <w:r w:rsidR="004072E7">
              <w:rPr>
                <w:iCs/>
                <w:szCs w:val="24"/>
              </w:rPr>
              <w:t>(SP 99) will not be updated until the September 1 as this is a mid-month salary increase.</w:t>
            </w:r>
          </w:p>
          <w:p w:rsidR="004072E7" w:rsidRDefault="004072E7" w:rsidP="004072E7">
            <w:pPr>
              <w:autoSpaceDE w:val="0"/>
              <w:autoSpaceDN w:val="0"/>
              <w:adjustRightInd w:val="0"/>
              <w:rPr>
                <w:iCs/>
                <w:szCs w:val="24"/>
              </w:rPr>
            </w:pPr>
          </w:p>
          <w:p w:rsidR="000B28B1" w:rsidRDefault="004072E7" w:rsidP="000B28B1">
            <w:pPr>
              <w:autoSpaceDE w:val="0"/>
              <w:autoSpaceDN w:val="0"/>
              <w:adjustRightInd w:val="0"/>
              <w:rPr>
                <w:iCs/>
                <w:szCs w:val="24"/>
              </w:rPr>
            </w:pPr>
            <w:r>
              <w:rPr>
                <w:iCs/>
                <w:szCs w:val="24"/>
              </w:rPr>
              <w:t xml:space="preserve">Please keep in mind that any </w:t>
            </w:r>
            <w:r w:rsidR="00186D13">
              <w:rPr>
                <w:iCs/>
                <w:szCs w:val="24"/>
              </w:rPr>
              <w:t xml:space="preserve">mid-month </w:t>
            </w:r>
            <w:r>
              <w:rPr>
                <w:iCs/>
                <w:szCs w:val="24"/>
              </w:rPr>
              <w:t xml:space="preserve">manual entry of salary changes unrelated to the statewide salary increase will automatically update the </w:t>
            </w:r>
            <w:r w:rsidR="00FD187D" w:rsidRPr="00FD187D">
              <w:rPr>
                <w:color w:val="000000"/>
                <w:szCs w:val="24"/>
              </w:rPr>
              <w:t>CONTBASE</w:t>
            </w:r>
            <w:r w:rsidR="00FD187D">
              <w:rPr>
                <w:rFonts w:ascii="Tahoma" w:hAnsi="Tahoma" w:cs="Tahoma"/>
                <w:color w:val="000000"/>
                <w:sz w:val="20"/>
              </w:rPr>
              <w:t xml:space="preserve"> </w:t>
            </w:r>
            <w:r>
              <w:rPr>
                <w:iCs/>
                <w:szCs w:val="24"/>
              </w:rPr>
              <w:t>amount and a special pay transaction (HUE01) will be required to prevent the retirement benefits from calculating on the new value</w:t>
            </w:r>
            <w:r w:rsidR="00186D13">
              <w:rPr>
                <w:iCs/>
                <w:szCs w:val="24"/>
              </w:rPr>
              <w:t xml:space="preserve"> prematurely</w:t>
            </w:r>
            <w:r>
              <w:rPr>
                <w:iCs/>
                <w:szCs w:val="24"/>
              </w:rPr>
              <w:t>.</w:t>
            </w:r>
          </w:p>
          <w:p w:rsidR="004072E7" w:rsidRDefault="004072E7" w:rsidP="000B28B1">
            <w:pPr>
              <w:autoSpaceDE w:val="0"/>
              <w:autoSpaceDN w:val="0"/>
              <w:adjustRightInd w:val="0"/>
            </w:pPr>
            <w:r>
              <w:rPr>
                <w:iCs/>
                <w:szCs w:val="24"/>
              </w:rPr>
              <w:t xml:space="preserve">  </w:t>
            </w:r>
          </w:p>
        </w:tc>
      </w:tr>
    </w:tbl>
    <w:p w:rsidR="003857CD" w:rsidRDefault="007C13DE" w:rsidP="003857CD">
      <w:pPr>
        <w:pStyle w:val="ContinuedOnNextPa"/>
        <w:pBdr>
          <w:top w:val="single" w:sz="6" w:space="0" w:color="auto"/>
        </w:pBdr>
      </w:pPr>
      <w:r>
        <w:tab/>
      </w:r>
      <w:r>
        <w:tab/>
      </w:r>
      <w:r w:rsidR="003857CD">
        <w:t>Continued on next page</w:t>
      </w:r>
    </w:p>
    <w:p w:rsidR="00186D13" w:rsidRDefault="00186D13">
      <w:pPr>
        <w:rPr>
          <w:b/>
          <w:sz w:val="28"/>
          <w:szCs w:val="28"/>
        </w:rPr>
      </w:pPr>
      <w:r>
        <w:rPr>
          <w:b/>
          <w:sz w:val="28"/>
          <w:szCs w:val="28"/>
        </w:rPr>
        <w:br w:type="page"/>
      </w:r>
    </w:p>
    <w:p w:rsidR="000D74B2" w:rsidRPr="005F1B4E" w:rsidRDefault="000D74B2" w:rsidP="003857CD">
      <w:pPr>
        <w:rPr>
          <w:b/>
          <w:sz w:val="28"/>
          <w:szCs w:val="28"/>
        </w:rPr>
      </w:pPr>
      <w:r w:rsidRPr="005F1B4E">
        <w:rPr>
          <w:b/>
          <w:sz w:val="28"/>
          <w:szCs w:val="28"/>
        </w:rPr>
        <w:t xml:space="preserve">General Guidelines for </w:t>
      </w:r>
      <w:r w:rsidR="000B28B1">
        <w:rPr>
          <w:b/>
          <w:sz w:val="28"/>
          <w:szCs w:val="28"/>
        </w:rPr>
        <w:t>August 2015 Salary Increase</w:t>
      </w:r>
      <w:r w:rsidRPr="005F1B4E">
        <w:rPr>
          <w:b/>
          <w:sz w:val="28"/>
          <w:szCs w:val="28"/>
        </w:rPr>
        <w:t>, cont.</w:t>
      </w:r>
    </w:p>
    <w:p w:rsidR="000D74B2" w:rsidRDefault="000D74B2" w:rsidP="000D74B2">
      <w:pPr>
        <w:pStyle w:val="BlockLine"/>
        <w:ind w:left="1620"/>
      </w:pPr>
    </w:p>
    <w:tbl>
      <w:tblPr>
        <w:tblW w:w="10188" w:type="dxa"/>
        <w:tblLayout w:type="fixed"/>
        <w:tblLook w:val="0000"/>
      </w:tblPr>
      <w:tblGrid>
        <w:gridCol w:w="1728"/>
        <w:gridCol w:w="8460"/>
      </w:tblGrid>
      <w:tr w:rsidR="000D74B2" w:rsidTr="00484094">
        <w:trPr>
          <w:cantSplit/>
        </w:trPr>
        <w:tc>
          <w:tcPr>
            <w:tcW w:w="1728" w:type="dxa"/>
          </w:tcPr>
          <w:p w:rsidR="000D74B2" w:rsidRDefault="000B28B1" w:rsidP="009446A6">
            <w:pPr>
              <w:pStyle w:val="Heading5"/>
            </w:pPr>
            <w:r>
              <w:rPr>
                <w:rFonts w:ascii="Times New Roman Bold" w:hAnsi="Times New Roman Bold"/>
                <w:b w:val="0"/>
                <w:szCs w:val="24"/>
              </w:rPr>
              <w:t xml:space="preserve">Agencies Using PMIS, </w:t>
            </w:r>
            <w:r w:rsidRPr="000B28B1">
              <w:rPr>
                <w:rFonts w:ascii="Times New Roman Bold" w:hAnsi="Times New Roman Bold"/>
                <w:b w:val="0"/>
                <w:szCs w:val="24"/>
              </w:rPr>
              <w:t>continued</w:t>
            </w:r>
          </w:p>
        </w:tc>
        <w:tc>
          <w:tcPr>
            <w:tcW w:w="8460" w:type="dxa"/>
          </w:tcPr>
          <w:p w:rsidR="000D74B2" w:rsidRPr="00A302AF" w:rsidRDefault="00186D13" w:rsidP="009446A6">
            <w:pPr>
              <w:autoSpaceDE w:val="0"/>
              <w:autoSpaceDN w:val="0"/>
              <w:adjustRightInd w:val="0"/>
              <w:rPr>
                <w:szCs w:val="24"/>
              </w:rPr>
            </w:pPr>
            <w:r w:rsidRPr="00A302AF">
              <w:rPr>
                <w:iCs/>
                <w:szCs w:val="24"/>
              </w:rPr>
              <w:t xml:space="preserve">Additionally, when the SP 99 transactions are loaded on 9/1 the value will be based on the information provided by DHRM in the regrade file.  For example, during the 8/10 to 8/24 pay period Sue Sloan had a PP salary of $1,542 after the salary increase.  On 8/25 Sue receives a promotion and now has a PP salary of $1,708.  The Human Resource officer promptly updates PMIS which in turn updates CIPPS to include the </w:t>
            </w:r>
            <w:r w:rsidR="00FD187D" w:rsidRPr="00A302AF">
              <w:rPr>
                <w:color w:val="000000"/>
                <w:szCs w:val="24"/>
              </w:rPr>
              <w:t xml:space="preserve">CONTBASE </w:t>
            </w:r>
            <w:r w:rsidRPr="00A302AF">
              <w:rPr>
                <w:iCs/>
                <w:szCs w:val="24"/>
              </w:rPr>
              <w:t xml:space="preserve">amount.  However on 9/1 the file to update </w:t>
            </w:r>
            <w:r w:rsidR="00FD187D" w:rsidRPr="00A302AF">
              <w:rPr>
                <w:color w:val="000000"/>
                <w:szCs w:val="24"/>
              </w:rPr>
              <w:t xml:space="preserve">CONTBASE </w:t>
            </w:r>
            <w:r w:rsidRPr="00A302AF">
              <w:rPr>
                <w:iCs/>
                <w:szCs w:val="24"/>
              </w:rPr>
              <w:t xml:space="preserve">is loaded to CIPPS returning Sue’s </w:t>
            </w:r>
            <w:r w:rsidR="00FD187D" w:rsidRPr="00A302AF">
              <w:rPr>
                <w:color w:val="000000"/>
                <w:szCs w:val="24"/>
              </w:rPr>
              <w:t xml:space="preserve">CONTBASE </w:t>
            </w:r>
            <w:r w:rsidRPr="00A302AF">
              <w:rPr>
                <w:iCs/>
                <w:szCs w:val="24"/>
              </w:rPr>
              <w:t>value back to $1542.  The Payroll Officer will need to</w:t>
            </w:r>
            <w:r w:rsidR="003F56A1" w:rsidRPr="00A302AF">
              <w:rPr>
                <w:iCs/>
                <w:szCs w:val="24"/>
              </w:rPr>
              <w:t xml:space="preserve"> return the value on H10AS to the correct value.</w:t>
            </w:r>
          </w:p>
        </w:tc>
      </w:tr>
    </w:tbl>
    <w:p w:rsidR="009446A6" w:rsidRDefault="009446A6" w:rsidP="009446A6">
      <w:pPr>
        <w:pStyle w:val="BlockLine"/>
        <w:ind w:left="1620"/>
      </w:pPr>
    </w:p>
    <w:tbl>
      <w:tblPr>
        <w:tblW w:w="10188" w:type="dxa"/>
        <w:tblLayout w:type="fixed"/>
        <w:tblLook w:val="0000"/>
      </w:tblPr>
      <w:tblGrid>
        <w:gridCol w:w="1728"/>
        <w:gridCol w:w="8460"/>
      </w:tblGrid>
      <w:tr w:rsidR="00186D13" w:rsidTr="000B28B1">
        <w:trPr>
          <w:cantSplit/>
        </w:trPr>
        <w:tc>
          <w:tcPr>
            <w:tcW w:w="1728" w:type="dxa"/>
          </w:tcPr>
          <w:p w:rsidR="00186D13" w:rsidRDefault="00186D13" w:rsidP="000B28B1">
            <w:pPr>
              <w:pStyle w:val="Heading5"/>
            </w:pPr>
            <w:r>
              <w:rPr>
                <w:rFonts w:ascii="Times New Roman Bold" w:hAnsi="Times New Roman Bold"/>
                <w:b w:val="0"/>
                <w:szCs w:val="24"/>
              </w:rPr>
              <w:t xml:space="preserve">Agencies NOT Using PMIS </w:t>
            </w:r>
          </w:p>
        </w:tc>
        <w:tc>
          <w:tcPr>
            <w:tcW w:w="8460" w:type="dxa"/>
          </w:tcPr>
          <w:p w:rsidR="00186D13" w:rsidRDefault="00186D13" w:rsidP="003F56A1">
            <w:pPr>
              <w:autoSpaceDE w:val="0"/>
              <w:autoSpaceDN w:val="0"/>
              <w:adjustRightInd w:val="0"/>
            </w:pPr>
            <w:r>
              <w:t xml:space="preserve">Agencies that do not enter data into PMIS </w:t>
            </w:r>
            <w:r w:rsidR="000B28B1">
              <w:t xml:space="preserve">will need to manually update CIPPS for the new salaries.  This action </w:t>
            </w:r>
            <w:r w:rsidR="000B28B1">
              <w:rPr>
                <w:iCs/>
                <w:szCs w:val="24"/>
              </w:rPr>
              <w:t xml:space="preserve">will automatically update the </w:t>
            </w:r>
            <w:r w:rsidR="00FD187D" w:rsidRPr="00FD187D">
              <w:rPr>
                <w:color w:val="000000"/>
                <w:szCs w:val="24"/>
              </w:rPr>
              <w:t>CONTBASE</w:t>
            </w:r>
            <w:r w:rsidR="00FD187D">
              <w:rPr>
                <w:rFonts w:ascii="Tahoma" w:hAnsi="Tahoma" w:cs="Tahoma"/>
                <w:color w:val="000000"/>
                <w:sz w:val="20"/>
              </w:rPr>
              <w:t xml:space="preserve"> </w:t>
            </w:r>
            <w:r w:rsidR="000B28B1">
              <w:rPr>
                <w:iCs/>
                <w:szCs w:val="24"/>
              </w:rPr>
              <w:t xml:space="preserve">amount.  </w:t>
            </w:r>
            <w:r w:rsidR="000B28B1">
              <w:t xml:space="preserve">As this is a mid-month salary increase </w:t>
            </w:r>
            <w:r w:rsidR="000B28B1">
              <w:rPr>
                <w:iCs/>
                <w:szCs w:val="24"/>
              </w:rPr>
              <w:t xml:space="preserve">a special pay transaction (HUE01) will be required to prevent the retirement benefits from calculating on the new value prematurely.  DOA will capture the </w:t>
            </w:r>
            <w:r w:rsidR="003F56A1">
              <w:rPr>
                <w:iCs/>
                <w:szCs w:val="24"/>
              </w:rPr>
              <w:t xml:space="preserve">value of </w:t>
            </w:r>
            <w:r w:rsidR="00FD187D" w:rsidRPr="00FD187D">
              <w:rPr>
                <w:color w:val="000000"/>
                <w:szCs w:val="24"/>
              </w:rPr>
              <w:t>CONTBASE</w:t>
            </w:r>
            <w:r w:rsidR="00FD187D">
              <w:rPr>
                <w:rFonts w:ascii="Tahoma" w:hAnsi="Tahoma" w:cs="Tahoma"/>
                <w:color w:val="000000"/>
                <w:sz w:val="20"/>
              </w:rPr>
              <w:t xml:space="preserve"> </w:t>
            </w:r>
            <w:r w:rsidR="003F56A1">
              <w:rPr>
                <w:iCs/>
                <w:szCs w:val="24"/>
              </w:rPr>
              <w:t>(SP 99) on H10AS during the 7/25 to 8/9 pay period.  Using this information DOA will create 9XX transactions to load to prevent premature calculation of retirement benefits on the new value.</w:t>
            </w:r>
          </w:p>
        </w:tc>
      </w:tr>
    </w:tbl>
    <w:p w:rsidR="00186D13" w:rsidRDefault="00186D13" w:rsidP="00186D13">
      <w:pPr>
        <w:pStyle w:val="BlockLine"/>
        <w:ind w:left="1620"/>
      </w:pPr>
    </w:p>
    <w:tbl>
      <w:tblPr>
        <w:tblW w:w="10188" w:type="dxa"/>
        <w:tblLayout w:type="fixed"/>
        <w:tblLook w:val="0000"/>
      </w:tblPr>
      <w:tblGrid>
        <w:gridCol w:w="1728"/>
        <w:gridCol w:w="8460"/>
      </w:tblGrid>
      <w:tr w:rsidR="00FD187D" w:rsidTr="00CA1614">
        <w:trPr>
          <w:cantSplit/>
        </w:trPr>
        <w:tc>
          <w:tcPr>
            <w:tcW w:w="1728" w:type="dxa"/>
          </w:tcPr>
          <w:p w:rsidR="00FD187D" w:rsidRDefault="00FD187D" w:rsidP="00FD187D">
            <w:pPr>
              <w:pStyle w:val="Heading5"/>
            </w:pPr>
            <w:r>
              <w:rPr>
                <w:rFonts w:ascii="Times New Roman Bold" w:hAnsi="Times New Roman Bold"/>
                <w:b w:val="0"/>
                <w:szCs w:val="24"/>
              </w:rPr>
              <w:t xml:space="preserve">Imputed Life </w:t>
            </w:r>
          </w:p>
        </w:tc>
        <w:tc>
          <w:tcPr>
            <w:tcW w:w="8460" w:type="dxa"/>
          </w:tcPr>
          <w:p w:rsidR="00FD187D" w:rsidRDefault="00FD187D" w:rsidP="00FD187D">
            <w:pPr>
              <w:autoSpaceDE w:val="0"/>
              <w:autoSpaceDN w:val="0"/>
              <w:adjustRightInd w:val="0"/>
            </w:pPr>
            <w:r>
              <w:t>As the Imputed Life will be increased mid-month additional taxes will be withheld in the second half of August as Imputed Life is self-adjusting.</w:t>
            </w:r>
          </w:p>
        </w:tc>
      </w:tr>
    </w:tbl>
    <w:p w:rsidR="00FD187D" w:rsidRDefault="00FD187D" w:rsidP="00FD187D">
      <w:pPr>
        <w:pStyle w:val="BlockLine"/>
        <w:ind w:left="1620"/>
      </w:pPr>
    </w:p>
    <w:p w:rsidR="00FD187D" w:rsidRPr="005F1B4E" w:rsidRDefault="00FD187D" w:rsidP="00FD187D">
      <w:pPr>
        <w:rPr>
          <w:b/>
          <w:sz w:val="28"/>
          <w:szCs w:val="28"/>
        </w:rPr>
      </w:pPr>
      <w:r>
        <w:rPr>
          <w:b/>
          <w:sz w:val="28"/>
          <w:szCs w:val="28"/>
        </w:rPr>
        <w:t>Hybrid Request For Adjustment Review Form</w:t>
      </w:r>
    </w:p>
    <w:p w:rsidR="00FD187D" w:rsidRDefault="00FD187D" w:rsidP="00FD187D">
      <w:pPr>
        <w:pStyle w:val="BlockLine"/>
        <w:ind w:left="1620"/>
      </w:pPr>
    </w:p>
    <w:tbl>
      <w:tblPr>
        <w:tblW w:w="10188" w:type="dxa"/>
        <w:tblLayout w:type="fixed"/>
        <w:tblLook w:val="0000"/>
      </w:tblPr>
      <w:tblGrid>
        <w:gridCol w:w="1728"/>
        <w:gridCol w:w="8460"/>
      </w:tblGrid>
      <w:tr w:rsidR="00FD187D" w:rsidTr="00CA1614">
        <w:trPr>
          <w:cantSplit/>
        </w:trPr>
        <w:tc>
          <w:tcPr>
            <w:tcW w:w="1728" w:type="dxa"/>
          </w:tcPr>
          <w:p w:rsidR="00FD187D" w:rsidRDefault="00FD187D" w:rsidP="009A1992">
            <w:pPr>
              <w:pStyle w:val="Heading5"/>
            </w:pPr>
            <w:r>
              <w:t xml:space="preserve">Hybrid Review Form </w:t>
            </w:r>
          </w:p>
        </w:tc>
        <w:tc>
          <w:tcPr>
            <w:tcW w:w="8460" w:type="dxa"/>
          </w:tcPr>
          <w:p w:rsidR="00FD187D" w:rsidRDefault="00FD187D" w:rsidP="00F54415">
            <w:pPr>
              <w:autoSpaceDE w:val="0"/>
              <w:autoSpaceDN w:val="0"/>
              <w:adjustRightInd w:val="0"/>
            </w:pPr>
            <w:r>
              <w:t xml:space="preserve">If an employee is erroneously enrolled in the VRS Hybrid Retirement Plan </w:t>
            </w:r>
            <w:r w:rsidR="00F54415">
              <w:t xml:space="preserve">as soon as the </w:t>
            </w:r>
            <w:r>
              <w:t xml:space="preserve">error is identified the agency should complete a Hybrid Retirement Plan Defined Contribution Component Request for Adjustment Review form found at </w:t>
            </w:r>
            <w:hyperlink w:history="1"/>
            <w:r>
              <w:t xml:space="preserve"> </w:t>
            </w:r>
            <w:hyperlink r:id="rId9" w:history="1">
              <w:r w:rsidRPr="00AE0411">
                <w:rPr>
                  <w:rStyle w:val="Hyperlink"/>
                  <w:i/>
                </w:rPr>
                <w:t>http://www.varetirement.org/hybridemployer/forms.html</w:t>
              </w:r>
            </w:hyperlink>
            <w:r>
              <w:rPr>
                <w:i/>
              </w:rPr>
              <w:t xml:space="preserve"> </w:t>
            </w:r>
            <w:r w:rsidRPr="000209CA">
              <w:t>and submit the form to</w:t>
            </w:r>
            <w:r w:rsidRPr="000209CA">
              <w:rPr>
                <w:i/>
              </w:rPr>
              <w:t xml:space="preserve"> </w:t>
            </w:r>
            <w:hyperlink r:id="rId10" w:history="1">
              <w:r w:rsidRPr="000209CA">
                <w:rPr>
                  <w:rStyle w:val="Hyperlink"/>
                  <w:i/>
                </w:rPr>
                <w:t>DCPlansHybrid@varetire.org</w:t>
              </w:r>
            </w:hyperlink>
            <w:r>
              <w:t xml:space="preserve"> .</w:t>
            </w:r>
          </w:p>
        </w:tc>
      </w:tr>
    </w:tbl>
    <w:p w:rsidR="00FD187D" w:rsidRDefault="00FD187D" w:rsidP="00FD187D">
      <w:pPr>
        <w:pStyle w:val="BlockLine"/>
        <w:ind w:left="1620"/>
      </w:pPr>
    </w:p>
    <w:p w:rsidR="00FD187D" w:rsidRPr="005F1B4E" w:rsidRDefault="00FD187D" w:rsidP="00FD187D">
      <w:pPr>
        <w:rPr>
          <w:b/>
          <w:sz w:val="28"/>
          <w:szCs w:val="28"/>
        </w:rPr>
      </w:pPr>
      <w:r>
        <w:rPr>
          <w:b/>
          <w:sz w:val="28"/>
          <w:szCs w:val="28"/>
        </w:rPr>
        <w:t>Deduction Refunds: Employer along with Employee</w:t>
      </w:r>
    </w:p>
    <w:p w:rsidR="00FD187D" w:rsidRDefault="00FD187D" w:rsidP="00FD187D">
      <w:pPr>
        <w:pStyle w:val="BlockLine"/>
        <w:ind w:left="1620"/>
      </w:pPr>
    </w:p>
    <w:tbl>
      <w:tblPr>
        <w:tblW w:w="10188" w:type="dxa"/>
        <w:tblLayout w:type="fixed"/>
        <w:tblLook w:val="0000"/>
      </w:tblPr>
      <w:tblGrid>
        <w:gridCol w:w="1728"/>
        <w:gridCol w:w="8460"/>
      </w:tblGrid>
      <w:tr w:rsidR="00FD187D" w:rsidTr="00CA1614">
        <w:trPr>
          <w:cantSplit/>
        </w:trPr>
        <w:tc>
          <w:tcPr>
            <w:tcW w:w="1728" w:type="dxa"/>
          </w:tcPr>
          <w:p w:rsidR="00FD187D" w:rsidRDefault="00FD187D" w:rsidP="00CA1614">
            <w:pPr>
              <w:pStyle w:val="Heading5"/>
            </w:pPr>
            <w:r>
              <w:t>Enter both in same Manual Pay Set (HTODA)</w:t>
            </w:r>
          </w:p>
        </w:tc>
        <w:tc>
          <w:tcPr>
            <w:tcW w:w="8460" w:type="dxa"/>
          </w:tcPr>
          <w:p w:rsidR="00FD187D" w:rsidRDefault="00FD187D" w:rsidP="00CA1614">
            <w:pPr>
              <w:autoSpaceDE w:val="0"/>
              <w:autoSpaceDN w:val="0"/>
              <w:adjustRightInd w:val="0"/>
            </w:pPr>
            <w:r>
              <w:t>When performing a deduction refund that includes both an employee and an employer amount such as for Health Care premiums, both items should be entered into one paid manual payset.  There is no need to enter the employer portion into a separate non-paid manual payset.</w:t>
            </w:r>
          </w:p>
        </w:tc>
      </w:tr>
    </w:tbl>
    <w:p w:rsidR="00FD187D" w:rsidRDefault="00FD187D" w:rsidP="00FD187D"/>
    <w:p w:rsidR="00FD187D" w:rsidRDefault="00FD187D" w:rsidP="00FD187D">
      <w:pPr>
        <w:pStyle w:val="ContinuedOnNextPa"/>
        <w:pBdr>
          <w:top w:val="single" w:sz="6" w:space="0" w:color="auto"/>
        </w:pBdr>
      </w:pPr>
      <w:r>
        <w:tab/>
      </w:r>
      <w:r>
        <w:tab/>
        <w:t>Continued on next page</w:t>
      </w:r>
    </w:p>
    <w:p w:rsidR="00C55E26" w:rsidRDefault="00C55E26">
      <w:pPr>
        <w:rPr>
          <w:b/>
          <w:sz w:val="28"/>
          <w:szCs w:val="28"/>
        </w:rPr>
      </w:pPr>
      <w:r>
        <w:rPr>
          <w:sz w:val="28"/>
          <w:szCs w:val="28"/>
        </w:rPr>
        <w:br w:type="page"/>
      </w:r>
    </w:p>
    <w:p w:rsidR="00666FEE" w:rsidRPr="00BA66C6" w:rsidRDefault="00FF1655" w:rsidP="00666FEE">
      <w:pPr>
        <w:pStyle w:val="MapTitleContinued"/>
        <w:spacing w:after="0"/>
        <w:outlineLvl w:val="0"/>
        <w:rPr>
          <w:rFonts w:ascii="Times New Roman" w:hAnsi="Times New Roman"/>
          <w:sz w:val="28"/>
          <w:szCs w:val="28"/>
        </w:rPr>
      </w:pPr>
      <w:r>
        <w:rPr>
          <w:rFonts w:ascii="Times New Roman" w:hAnsi="Times New Roman"/>
          <w:sz w:val="28"/>
          <w:szCs w:val="28"/>
        </w:rPr>
        <w:t>Weight Watcher Reimbursements – New Schedule</w:t>
      </w:r>
    </w:p>
    <w:p w:rsidR="00666FEE" w:rsidRDefault="00666FEE" w:rsidP="00666FEE">
      <w:pPr>
        <w:pStyle w:val="BlockLine"/>
        <w:ind w:left="1620"/>
      </w:pPr>
    </w:p>
    <w:tbl>
      <w:tblPr>
        <w:tblW w:w="10188" w:type="dxa"/>
        <w:tblLayout w:type="fixed"/>
        <w:tblLook w:val="0000"/>
      </w:tblPr>
      <w:tblGrid>
        <w:gridCol w:w="1728"/>
        <w:gridCol w:w="8460"/>
      </w:tblGrid>
      <w:tr w:rsidR="00666FEE" w:rsidTr="00ED7A73">
        <w:trPr>
          <w:cantSplit/>
        </w:trPr>
        <w:tc>
          <w:tcPr>
            <w:tcW w:w="1728" w:type="dxa"/>
          </w:tcPr>
          <w:p w:rsidR="00666FEE" w:rsidRDefault="00FF1655" w:rsidP="00ED7A73">
            <w:pPr>
              <w:pStyle w:val="Heading5"/>
            </w:pPr>
            <w:r>
              <w:t>Quarterly Notifications</w:t>
            </w:r>
          </w:p>
        </w:tc>
        <w:tc>
          <w:tcPr>
            <w:tcW w:w="8460" w:type="dxa"/>
          </w:tcPr>
          <w:p w:rsidR="00FF1655" w:rsidRPr="00FF1655" w:rsidRDefault="00FF1655" w:rsidP="00FF1655">
            <w:pPr>
              <w:pStyle w:val="Default"/>
              <w:rPr>
                <w:rFonts w:ascii="Times New Roman" w:hAnsi="Times New Roman" w:cs="Times New Roman"/>
              </w:rPr>
            </w:pPr>
            <w:r w:rsidRPr="00FF1655">
              <w:rPr>
                <w:rFonts w:ascii="Times New Roman" w:hAnsi="Times New Roman" w:cs="Times New Roman"/>
              </w:rPr>
              <w:t>The Department of Human Resource Management places a report in agenc</w:t>
            </w:r>
            <w:r w:rsidR="00284B3E">
              <w:rPr>
                <w:rFonts w:ascii="Times New Roman" w:hAnsi="Times New Roman" w:cs="Times New Roman"/>
              </w:rPr>
              <w:t>ies’</w:t>
            </w:r>
            <w:r w:rsidRPr="00FF1655">
              <w:rPr>
                <w:rFonts w:ascii="Times New Roman" w:hAnsi="Times New Roman" w:cs="Times New Roman"/>
              </w:rPr>
              <w:t xml:space="preserve"> HuRMan folders each month listing those employees who have received some awards/incentives for various health-related achievements or practices through the Commonwealth’s health care plan.  Historically the report has been provided on a monthly basis; however, in order to streamline the process and make the most effective use of limited staff resources, DHRM will be providing reimbursement files to agencies every three months rather than each month.</w:t>
            </w:r>
          </w:p>
          <w:p w:rsidR="00FF1655" w:rsidRPr="00FF1655" w:rsidRDefault="00FF1655" w:rsidP="00FF1655">
            <w:pPr>
              <w:pStyle w:val="Default"/>
              <w:rPr>
                <w:rFonts w:ascii="Times New Roman" w:hAnsi="Times New Roman" w:cs="Times New Roman"/>
              </w:rPr>
            </w:pPr>
          </w:p>
          <w:p w:rsidR="00FF1655" w:rsidRPr="00FF1655" w:rsidRDefault="00FF1655" w:rsidP="00FF1655">
            <w:pPr>
              <w:rPr>
                <w:szCs w:val="24"/>
              </w:rPr>
            </w:pPr>
            <w:r w:rsidRPr="00FF1655">
              <w:rPr>
                <w:szCs w:val="24"/>
              </w:rPr>
              <w:t>The next file will be posted on HuRMan on September 4, 2015</w:t>
            </w:r>
            <w:r w:rsidR="008C46BD">
              <w:rPr>
                <w:szCs w:val="24"/>
              </w:rPr>
              <w:t>,</w:t>
            </w:r>
            <w:r w:rsidRPr="00FF1655">
              <w:rPr>
                <w:szCs w:val="24"/>
              </w:rPr>
              <w:t xml:space="preserve"> and cover the period of June 16 – July 31, 2015.  The table below provides the anticipated dates for each quarter</w:t>
            </w:r>
            <w:r w:rsidR="008C46BD">
              <w:rPr>
                <w:szCs w:val="24"/>
              </w:rPr>
              <w:t>’</w:t>
            </w:r>
            <w:r w:rsidRPr="00FF1655">
              <w:rPr>
                <w:szCs w:val="24"/>
              </w:rPr>
              <w:t>s report.</w:t>
            </w:r>
          </w:p>
          <w:p w:rsidR="00FF1655" w:rsidRDefault="00FF1655" w:rsidP="00FF1655"/>
          <w:tbl>
            <w:tblPr>
              <w:tblStyle w:val="TableGrid"/>
              <w:tblW w:w="0" w:type="auto"/>
              <w:tblLayout w:type="fixed"/>
              <w:tblLook w:val="04A0"/>
            </w:tblPr>
            <w:tblGrid>
              <w:gridCol w:w="4027"/>
              <w:gridCol w:w="3960"/>
            </w:tblGrid>
            <w:tr w:rsidR="00FF1655" w:rsidTr="00FD187D">
              <w:tc>
                <w:tcPr>
                  <w:tcW w:w="4027" w:type="dxa"/>
                  <w:tcBorders>
                    <w:top w:val="single" w:sz="4" w:space="0" w:color="auto"/>
                    <w:left w:val="single" w:sz="4" w:space="0" w:color="auto"/>
                    <w:bottom w:val="single" w:sz="4" w:space="0" w:color="auto"/>
                    <w:right w:val="single" w:sz="4" w:space="0" w:color="auto"/>
                  </w:tcBorders>
                  <w:hideMark/>
                </w:tcPr>
                <w:p w:rsidR="00FF1655" w:rsidRPr="00FD187D" w:rsidRDefault="00FF1655">
                  <w:pPr>
                    <w:jc w:val="center"/>
                    <w:rPr>
                      <w:b/>
                      <w:sz w:val="22"/>
                      <w:szCs w:val="22"/>
                    </w:rPr>
                  </w:pPr>
                  <w:r w:rsidRPr="00FD187D">
                    <w:rPr>
                      <w:b/>
                      <w:sz w:val="22"/>
                      <w:szCs w:val="22"/>
                    </w:rPr>
                    <w:t>Weight Watchers</w:t>
                  </w:r>
                </w:p>
                <w:p w:rsidR="00FF1655" w:rsidRPr="00FD187D" w:rsidRDefault="00FF1655">
                  <w:pPr>
                    <w:jc w:val="center"/>
                    <w:rPr>
                      <w:b/>
                      <w:sz w:val="22"/>
                      <w:szCs w:val="22"/>
                    </w:rPr>
                  </w:pPr>
                  <w:r w:rsidRPr="00FD187D">
                    <w:rPr>
                      <w:b/>
                      <w:sz w:val="22"/>
                      <w:szCs w:val="22"/>
                    </w:rPr>
                    <w:t>Spreadsheet Time Period</w:t>
                  </w:r>
                </w:p>
              </w:tc>
              <w:tc>
                <w:tcPr>
                  <w:tcW w:w="3960" w:type="dxa"/>
                  <w:tcBorders>
                    <w:top w:val="single" w:sz="4" w:space="0" w:color="auto"/>
                    <w:left w:val="single" w:sz="4" w:space="0" w:color="auto"/>
                    <w:bottom w:val="single" w:sz="4" w:space="0" w:color="auto"/>
                    <w:right w:val="single" w:sz="4" w:space="0" w:color="auto"/>
                  </w:tcBorders>
                  <w:hideMark/>
                </w:tcPr>
                <w:p w:rsidR="00FF1655" w:rsidRPr="00FD187D" w:rsidRDefault="00FF1655" w:rsidP="00FD187D">
                  <w:pPr>
                    <w:jc w:val="center"/>
                    <w:rPr>
                      <w:b/>
                      <w:sz w:val="22"/>
                      <w:szCs w:val="22"/>
                    </w:rPr>
                  </w:pPr>
                  <w:r w:rsidRPr="00FD187D">
                    <w:rPr>
                      <w:b/>
                      <w:sz w:val="22"/>
                      <w:szCs w:val="22"/>
                    </w:rPr>
                    <w:t>Send to</w:t>
                  </w:r>
                  <w:r w:rsidR="00FD187D">
                    <w:rPr>
                      <w:b/>
                      <w:sz w:val="22"/>
                      <w:szCs w:val="22"/>
                    </w:rPr>
                    <w:t xml:space="preserve"> </w:t>
                  </w:r>
                  <w:r w:rsidRPr="00FD187D">
                    <w:rPr>
                      <w:b/>
                      <w:sz w:val="22"/>
                      <w:szCs w:val="22"/>
                    </w:rPr>
                    <w:t>Contracts and Finance, Posted in HuRMan</w:t>
                  </w:r>
                </w:p>
              </w:tc>
            </w:tr>
            <w:tr w:rsidR="00FF1655" w:rsidTr="00FD187D">
              <w:tc>
                <w:tcPr>
                  <w:tcW w:w="4027" w:type="dxa"/>
                  <w:tcBorders>
                    <w:top w:val="single" w:sz="4" w:space="0" w:color="auto"/>
                    <w:left w:val="single" w:sz="4" w:space="0" w:color="auto"/>
                    <w:bottom w:val="single" w:sz="4" w:space="0" w:color="auto"/>
                    <w:right w:val="single" w:sz="4" w:space="0" w:color="auto"/>
                  </w:tcBorders>
                  <w:hideMark/>
                </w:tcPr>
                <w:p w:rsidR="00FF1655" w:rsidRPr="00FD187D" w:rsidRDefault="00FF1655">
                  <w:pPr>
                    <w:rPr>
                      <w:sz w:val="22"/>
                      <w:szCs w:val="22"/>
                    </w:rPr>
                  </w:pPr>
                  <w:r w:rsidRPr="00FD187D">
                    <w:rPr>
                      <w:sz w:val="22"/>
                      <w:szCs w:val="22"/>
                    </w:rPr>
                    <w:t>May, June, July</w:t>
                  </w:r>
                </w:p>
              </w:tc>
              <w:tc>
                <w:tcPr>
                  <w:tcW w:w="3960" w:type="dxa"/>
                  <w:tcBorders>
                    <w:top w:val="single" w:sz="4" w:space="0" w:color="auto"/>
                    <w:left w:val="single" w:sz="4" w:space="0" w:color="auto"/>
                    <w:bottom w:val="single" w:sz="4" w:space="0" w:color="auto"/>
                    <w:right w:val="single" w:sz="4" w:space="0" w:color="auto"/>
                  </w:tcBorders>
                  <w:hideMark/>
                </w:tcPr>
                <w:p w:rsidR="00FF1655" w:rsidRPr="00FD187D" w:rsidRDefault="00FF1655">
                  <w:pPr>
                    <w:rPr>
                      <w:sz w:val="22"/>
                      <w:szCs w:val="22"/>
                    </w:rPr>
                  </w:pPr>
                  <w:r w:rsidRPr="00FD187D">
                    <w:rPr>
                      <w:sz w:val="22"/>
                      <w:szCs w:val="22"/>
                    </w:rPr>
                    <w:t>September 4</w:t>
                  </w:r>
                </w:p>
              </w:tc>
            </w:tr>
            <w:tr w:rsidR="00FF1655" w:rsidTr="00FD187D">
              <w:tc>
                <w:tcPr>
                  <w:tcW w:w="4027" w:type="dxa"/>
                  <w:tcBorders>
                    <w:top w:val="single" w:sz="4" w:space="0" w:color="auto"/>
                    <w:left w:val="single" w:sz="4" w:space="0" w:color="auto"/>
                    <w:bottom w:val="single" w:sz="4" w:space="0" w:color="auto"/>
                    <w:right w:val="single" w:sz="4" w:space="0" w:color="auto"/>
                  </w:tcBorders>
                  <w:hideMark/>
                </w:tcPr>
                <w:p w:rsidR="00FF1655" w:rsidRPr="00FD187D" w:rsidRDefault="00FF1655">
                  <w:pPr>
                    <w:rPr>
                      <w:sz w:val="22"/>
                      <w:szCs w:val="22"/>
                    </w:rPr>
                  </w:pPr>
                  <w:r w:rsidRPr="00FD187D">
                    <w:rPr>
                      <w:sz w:val="22"/>
                      <w:szCs w:val="22"/>
                    </w:rPr>
                    <w:t>August, September, October</w:t>
                  </w:r>
                </w:p>
              </w:tc>
              <w:tc>
                <w:tcPr>
                  <w:tcW w:w="3960" w:type="dxa"/>
                  <w:tcBorders>
                    <w:top w:val="single" w:sz="4" w:space="0" w:color="auto"/>
                    <w:left w:val="single" w:sz="4" w:space="0" w:color="auto"/>
                    <w:bottom w:val="single" w:sz="4" w:space="0" w:color="auto"/>
                    <w:right w:val="single" w:sz="4" w:space="0" w:color="auto"/>
                  </w:tcBorders>
                  <w:hideMark/>
                </w:tcPr>
                <w:p w:rsidR="00FF1655" w:rsidRPr="00FD187D" w:rsidRDefault="00FF1655">
                  <w:pPr>
                    <w:rPr>
                      <w:sz w:val="22"/>
                      <w:szCs w:val="22"/>
                    </w:rPr>
                  </w:pPr>
                  <w:r w:rsidRPr="00FD187D">
                    <w:rPr>
                      <w:sz w:val="22"/>
                      <w:szCs w:val="22"/>
                    </w:rPr>
                    <w:t>December 4</w:t>
                  </w:r>
                </w:p>
              </w:tc>
            </w:tr>
            <w:tr w:rsidR="00FF1655" w:rsidTr="00FD187D">
              <w:tc>
                <w:tcPr>
                  <w:tcW w:w="4027" w:type="dxa"/>
                  <w:tcBorders>
                    <w:top w:val="single" w:sz="4" w:space="0" w:color="auto"/>
                    <w:left w:val="single" w:sz="4" w:space="0" w:color="auto"/>
                    <w:bottom w:val="single" w:sz="4" w:space="0" w:color="auto"/>
                    <w:right w:val="single" w:sz="4" w:space="0" w:color="auto"/>
                  </w:tcBorders>
                  <w:hideMark/>
                </w:tcPr>
                <w:p w:rsidR="00FF1655" w:rsidRPr="00FD187D" w:rsidRDefault="00FF1655">
                  <w:pPr>
                    <w:rPr>
                      <w:sz w:val="22"/>
                      <w:szCs w:val="22"/>
                    </w:rPr>
                  </w:pPr>
                  <w:r w:rsidRPr="00FD187D">
                    <w:rPr>
                      <w:sz w:val="22"/>
                      <w:szCs w:val="22"/>
                    </w:rPr>
                    <w:t>November, December, January</w:t>
                  </w:r>
                </w:p>
              </w:tc>
              <w:tc>
                <w:tcPr>
                  <w:tcW w:w="3960" w:type="dxa"/>
                  <w:tcBorders>
                    <w:top w:val="single" w:sz="4" w:space="0" w:color="auto"/>
                    <w:left w:val="single" w:sz="4" w:space="0" w:color="auto"/>
                    <w:bottom w:val="single" w:sz="4" w:space="0" w:color="auto"/>
                    <w:right w:val="single" w:sz="4" w:space="0" w:color="auto"/>
                  </w:tcBorders>
                  <w:hideMark/>
                </w:tcPr>
                <w:p w:rsidR="00FF1655" w:rsidRPr="00FD187D" w:rsidRDefault="00FF1655">
                  <w:pPr>
                    <w:rPr>
                      <w:sz w:val="22"/>
                      <w:szCs w:val="22"/>
                    </w:rPr>
                  </w:pPr>
                  <w:r w:rsidRPr="00FD187D">
                    <w:rPr>
                      <w:sz w:val="22"/>
                      <w:szCs w:val="22"/>
                    </w:rPr>
                    <w:t>March 4</w:t>
                  </w:r>
                </w:p>
              </w:tc>
            </w:tr>
            <w:tr w:rsidR="00FF1655" w:rsidTr="00FD187D">
              <w:tc>
                <w:tcPr>
                  <w:tcW w:w="4027" w:type="dxa"/>
                  <w:tcBorders>
                    <w:top w:val="single" w:sz="4" w:space="0" w:color="auto"/>
                    <w:left w:val="single" w:sz="4" w:space="0" w:color="auto"/>
                    <w:bottom w:val="single" w:sz="4" w:space="0" w:color="auto"/>
                    <w:right w:val="single" w:sz="4" w:space="0" w:color="auto"/>
                  </w:tcBorders>
                  <w:hideMark/>
                </w:tcPr>
                <w:p w:rsidR="00FF1655" w:rsidRPr="00FD187D" w:rsidRDefault="00FF1655">
                  <w:pPr>
                    <w:rPr>
                      <w:sz w:val="22"/>
                      <w:szCs w:val="22"/>
                    </w:rPr>
                  </w:pPr>
                  <w:r w:rsidRPr="00FD187D">
                    <w:rPr>
                      <w:sz w:val="22"/>
                      <w:szCs w:val="22"/>
                    </w:rPr>
                    <w:t>February, March, April</w:t>
                  </w:r>
                </w:p>
              </w:tc>
              <w:tc>
                <w:tcPr>
                  <w:tcW w:w="3960" w:type="dxa"/>
                  <w:tcBorders>
                    <w:top w:val="single" w:sz="4" w:space="0" w:color="auto"/>
                    <w:left w:val="single" w:sz="4" w:space="0" w:color="auto"/>
                    <w:bottom w:val="single" w:sz="4" w:space="0" w:color="auto"/>
                    <w:right w:val="single" w:sz="4" w:space="0" w:color="auto"/>
                  </w:tcBorders>
                  <w:hideMark/>
                </w:tcPr>
                <w:p w:rsidR="00FF1655" w:rsidRPr="00FD187D" w:rsidRDefault="00FF1655">
                  <w:pPr>
                    <w:rPr>
                      <w:sz w:val="22"/>
                      <w:szCs w:val="22"/>
                    </w:rPr>
                  </w:pPr>
                  <w:r w:rsidRPr="00FD187D">
                    <w:rPr>
                      <w:sz w:val="22"/>
                      <w:szCs w:val="22"/>
                    </w:rPr>
                    <w:t>June 4</w:t>
                  </w:r>
                </w:p>
              </w:tc>
            </w:tr>
          </w:tbl>
          <w:p w:rsidR="00EB773E" w:rsidRDefault="00EB773E"/>
          <w:p w:rsidR="00666FEE" w:rsidRDefault="00FD187D" w:rsidP="00EB773E">
            <w:pPr>
              <w:autoSpaceDE w:val="0"/>
              <w:autoSpaceDN w:val="0"/>
              <w:adjustRightInd w:val="0"/>
            </w:pPr>
            <w:r>
              <w:rPr>
                <w:color w:val="000000"/>
                <w:sz w:val="23"/>
                <w:szCs w:val="23"/>
              </w:rPr>
              <w:t xml:space="preserve">Note: </w:t>
            </w:r>
            <w:r w:rsidR="00EB773E" w:rsidRPr="00EB773E">
              <w:rPr>
                <w:color w:val="000000"/>
                <w:sz w:val="23"/>
                <w:szCs w:val="23"/>
              </w:rPr>
              <w:t>Special Pay 033, HLTINCTV</w:t>
            </w:r>
            <w:r w:rsidR="00EB773E">
              <w:rPr>
                <w:color w:val="000000"/>
                <w:sz w:val="23"/>
                <w:szCs w:val="23"/>
              </w:rPr>
              <w:t>, is to be used to make these payments.</w:t>
            </w:r>
          </w:p>
        </w:tc>
      </w:tr>
    </w:tbl>
    <w:p w:rsidR="00E64B6B" w:rsidRDefault="00E64B6B" w:rsidP="00F215C2">
      <w:pPr>
        <w:rPr>
          <w:b/>
          <w:sz w:val="28"/>
          <w:szCs w:val="28"/>
        </w:rPr>
      </w:pPr>
    </w:p>
    <w:p w:rsidR="00E64B6B" w:rsidRDefault="00E64B6B" w:rsidP="00E64B6B">
      <w:pPr>
        <w:pStyle w:val="ContinuedOnNextPa"/>
        <w:pBdr>
          <w:top w:val="single" w:sz="6" w:space="0" w:color="auto"/>
        </w:pBdr>
      </w:pPr>
      <w:r>
        <w:tab/>
      </w:r>
      <w:r>
        <w:tab/>
        <w:t>Continued on next page</w:t>
      </w:r>
    </w:p>
    <w:p w:rsidR="001855DF" w:rsidRPr="001855DF" w:rsidRDefault="001855DF" w:rsidP="001855DF">
      <w:pPr>
        <w:rPr>
          <w:sz w:val="28"/>
          <w:szCs w:val="28"/>
        </w:rPr>
      </w:pPr>
      <w:r w:rsidRPr="001855DF">
        <w:rPr>
          <w:b/>
          <w:bCs/>
          <w:sz w:val="28"/>
          <w:szCs w:val="28"/>
        </w:rPr>
        <w:t>Reminder: Overtime Payment Audit Report</w:t>
      </w:r>
    </w:p>
    <w:p w:rsidR="001855DF" w:rsidRPr="000738CE" w:rsidRDefault="001855DF" w:rsidP="001855DF">
      <w:pPr>
        <w:pStyle w:val="BlockLine"/>
        <w:ind w:left="1350"/>
        <w:rPr>
          <w:sz w:val="16"/>
          <w:szCs w:val="16"/>
        </w:rPr>
      </w:pPr>
    </w:p>
    <w:tbl>
      <w:tblPr>
        <w:tblW w:w="10188" w:type="dxa"/>
        <w:tblLayout w:type="fixed"/>
        <w:tblLook w:val="0000"/>
      </w:tblPr>
      <w:tblGrid>
        <w:gridCol w:w="1998"/>
        <w:gridCol w:w="8190"/>
      </w:tblGrid>
      <w:tr w:rsidR="001855DF" w:rsidRPr="00AD57F0" w:rsidTr="00CA1614">
        <w:trPr>
          <w:cantSplit/>
        </w:trPr>
        <w:tc>
          <w:tcPr>
            <w:tcW w:w="1998" w:type="dxa"/>
          </w:tcPr>
          <w:p w:rsidR="001855DF" w:rsidRPr="001855DF" w:rsidRDefault="001855DF" w:rsidP="00CA1614">
            <w:pPr>
              <w:pStyle w:val="Heading5"/>
              <w:rPr>
                <w:sz w:val="24"/>
                <w:szCs w:val="24"/>
              </w:rPr>
            </w:pPr>
            <w:r w:rsidRPr="001855DF">
              <w:rPr>
                <w:bCs/>
                <w:sz w:val="24"/>
                <w:szCs w:val="24"/>
              </w:rPr>
              <w:t>Overtime Payment Audit Report</w:t>
            </w:r>
          </w:p>
        </w:tc>
        <w:tc>
          <w:tcPr>
            <w:tcW w:w="8190" w:type="dxa"/>
          </w:tcPr>
          <w:p w:rsidR="001855DF" w:rsidRDefault="00E64B6B" w:rsidP="00625AD5">
            <w:pPr>
              <w:pStyle w:val="BlockText"/>
              <w:tabs>
                <w:tab w:val="left" w:pos="4554"/>
              </w:tabs>
              <w:ind w:left="162"/>
              <w:rPr>
                <w:color w:val="000080"/>
                <w:szCs w:val="24"/>
              </w:rPr>
            </w:pPr>
            <w:r>
              <w:rPr>
                <w:szCs w:val="24"/>
              </w:rPr>
              <w:t xml:space="preserve">The </w:t>
            </w:r>
            <w:r w:rsidR="001855DF" w:rsidRPr="001855DF">
              <w:rPr>
                <w:szCs w:val="24"/>
              </w:rPr>
              <w:t xml:space="preserve">Overtime Report (Report U050) reflects the amounts and hours of overtime paid to both salaried and hourly employees on a month-to-date and calendar year-to-date basis. The report reflects the distinction between the straight-time and premium-time overtime pay processed as well as the factors and/or rates used in processing the Overtime </w:t>
            </w:r>
            <w:r w:rsidR="00625AD5">
              <w:rPr>
                <w:szCs w:val="24"/>
              </w:rPr>
              <w:t>1 and Overtime 2 pay amounts.</w:t>
            </w:r>
            <w:r w:rsidR="001855DF" w:rsidRPr="001855DF">
              <w:rPr>
                <w:szCs w:val="24"/>
              </w:rPr>
              <w:t xml:space="preserve"> Management should review the report to ensure accurate and appropriate overtime pay is being processed for those employees eligible to receive Overtime Pay</w:t>
            </w:r>
            <w:r w:rsidR="001855DF" w:rsidRPr="001855DF">
              <w:rPr>
                <w:color w:val="000080"/>
                <w:szCs w:val="24"/>
              </w:rPr>
              <w:t>.</w:t>
            </w:r>
          </w:p>
          <w:p w:rsidR="00E64B6B" w:rsidRPr="00E64B6B" w:rsidRDefault="00E64B6B" w:rsidP="00625AD5">
            <w:pPr>
              <w:pStyle w:val="BlockText"/>
              <w:tabs>
                <w:tab w:val="left" w:pos="4554"/>
              </w:tabs>
              <w:ind w:left="162"/>
              <w:rPr>
                <w:szCs w:val="24"/>
              </w:rPr>
            </w:pPr>
          </w:p>
          <w:p w:rsidR="00E64B6B" w:rsidRPr="001855DF" w:rsidRDefault="00E64B6B" w:rsidP="00E64B6B">
            <w:pPr>
              <w:pStyle w:val="BlockText"/>
              <w:tabs>
                <w:tab w:val="left" w:pos="4554"/>
              </w:tabs>
              <w:ind w:left="162"/>
              <w:rPr>
                <w:szCs w:val="24"/>
              </w:rPr>
            </w:pPr>
            <w:r w:rsidRPr="00E64B6B">
              <w:rPr>
                <w:szCs w:val="24"/>
              </w:rPr>
              <w:t>Overtime payments should only be made for FLSA related overtime and not used for supplemental payments related to agency unique practices</w:t>
            </w:r>
            <w:r>
              <w:rPr>
                <w:szCs w:val="24"/>
              </w:rPr>
              <w:t xml:space="preserve"> as it could impact both a Federal </w:t>
            </w:r>
            <w:r w:rsidRPr="00E64B6B">
              <w:rPr>
                <w:szCs w:val="24"/>
              </w:rPr>
              <w:t xml:space="preserve">Wage </w:t>
            </w:r>
            <w:r>
              <w:rPr>
                <w:szCs w:val="24"/>
              </w:rPr>
              <w:t xml:space="preserve">and Hour </w:t>
            </w:r>
            <w:r w:rsidRPr="00E64B6B">
              <w:rPr>
                <w:szCs w:val="24"/>
              </w:rPr>
              <w:t>Audit a</w:t>
            </w:r>
            <w:r>
              <w:rPr>
                <w:szCs w:val="24"/>
              </w:rPr>
              <w:t>s well as distort information provided under FOIA.</w:t>
            </w:r>
          </w:p>
        </w:tc>
      </w:tr>
    </w:tbl>
    <w:p w:rsidR="00C64B98" w:rsidRDefault="00C64B98" w:rsidP="00C64B98"/>
    <w:p w:rsidR="00E64B6B" w:rsidRDefault="00E64B6B" w:rsidP="00E64B6B">
      <w:pPr>
        <w:pStyle w:val="ContinuedOnNextPa"/>
        <w:pBdr>
          <w:top w:val="single" w:sz="6" w:space="0" w:color="auto"/>
        </w:pBdr>
      </w:pPr>
      <w:r>
        <w:tab/>
      </w:r>
      <w:r>
        <w:tab/>
        <w:t>Continued on next page</w:t>
      </w:r>
    </w:p>
    <w:p w:rsidR="00E64B6B" w:rsidRDefault="00E64B6B" w:rsidP="00C64B98"/>
    <w:p w:rsidR="00E64B6B" w:rsidRDefault="00E64B6B">
      <w:r>
        <w:br w:type="page"/>
      </w:r>
    </w:p>
    <w:p w:rsidR="00E64B6B" w:rsidRPr="002F6315" w:rsidRDefault="00E64B6B" w:rsidP="00E64B6B">
      <w:pPr>
        <w:rPr>
          <w:sz w:val="28"/>
          <w:szCs w:val="28"/>
        </w:rPr>
      </w:pPr>
      <w:r w:rsidRPr="002F6315">
        <w:rPr>
          <w:rFonts w:ascii="Times New Roman Bold" w:hAnsi="Times New Roman Bold"/>
          <w:sz w:val="28"/>
          <w:szCs w:val="28"/>
        </w:rPr>
        <w:t>Reminder: Deferred Comp/Annuity Deductions from WC/STD-WC Benefits</w:t>
      </w:r>
      <w:r w:rsidRPr="002F6315">
        <w:rPr>
          <w:bCs/>
          <w:sz w:val="28"/>
          <w:szCs w:val="28"/>
        </w:rPr>
        <w:t xml:space="preserve"> </w:t>
      </w:r>
    </w:p>
    <w:p w:rsidR="00E64B6B" w:rsidRDefault="00E64B6B" w:rsidP="00E64B6B">
      <w:pPr>
        <w:pStyle w:val="BlockLine"/>
        <w:ind w:left="1350"/>
        <w:rPr>
          <w:sz w:val="16"/>
          <w:szCs w:val="16"/>
        </w:rPr>
      </w:pPr>
    </w:p>
    <w:tbl>
      <w:tblPr>
        <w:tblW w:w="10188" w:type="dxa"/>
        <w:tblLayout w:type="fixed"/>
        <w:tblLook w:val="0000"/>
      </w:tblPr>
      <w:tblGrid>
        <w:gridCol w:w="1998"/>
        <w:gridCol w:w="8190"/>
      </w:tblGrid>
      <w:tr w:rsidR="00E64B6B" w:rsidRPr="003C662B" w:rsidTr="00CA1614">
        <w:trPr>
          <w:cantSplit/>
          <w:trHeight w:val="1485"/>
        </w:trPr>
        <w:tc>
          <w:tcPr>
            <w:tcW w:w="1998" w:type="dxa"/>
          </w:tcPr>
          <w:p w:rsidR="00E64B6B" w:rsidRPr="00A64394" w:rsidRDefault="00E64B6B" w:rsidP="00CA1614">
            <w:pPr>
              <w:pStyle w:val="Heading5"/>
              <w:rPr>
                <w:rFonts w:ascii="Times New Roman Bold" w:hAnsi="Times New Roman Bold"/>
                <w:bCs/>
                <w:sz w:val="24"/>
                <w:szCs w:val="24"/>
              </w:rPr>
            </w:pPr>
            <w:r>
              <w:rPr>
                <w:rFonts w:ascii="Times New Roman Bold" w:hAnsi="Times New Roman Bold"/>
                <w:bCs/>
                <w:sz w:val="24"/>
                <w:szCs w:val="24"/>
              </w:rPr>
              <w:t>Deductions for DC and/or Pre-Tax Annuities Not Allowed from Workers</w:t>
            </w:r>
            <w:r>
              <w:rPr>
                <w:rFonts w:ascii="Times New Roman Bold" w:hAnsi="Times New Roman Bold" w:hint="eastAsia"/>
                <w:bCs/>
                <w:sz w:val="24"/>
                <w:szCs w:val="24"/>
              </w:rPr>
              <w:t>’</w:t>
            </w:r>
            <w:r>
              <w:rPr>
                <w:rFonts w:ascii="Times New Roman Bold" w:hAnsi="Times New Roman Bold"/>
                <w:bCs/>
                <w:sz w:val="24"/>
                <w:szCs w:val="24"/>
              </w:rPr>
              <w:t xml:space="preserve"> Comp/STD-WC Benefits</w:t>
            </w:r>
          </w:p>
        </w:tc>
        <w:tc>
          <w:tcPr>
            <w:tcW w:w="8190" w:type="dxa"/>
          </w:tcPr>
          <w:p w:rsidR="00E64B6B" w:rsidRPr="00A64394" w:rsidRDefault="00E64B6B" w:rsidP="00866D8C">
            <w:pPr>
              <w:rPr>
                <w:sz w:val="22"/>
                <w:szCs w:val="22"/>
              </w:rPr>
            </w:pPr>
            <w:r w:rsidRPr="002F6315">
              <w:rPr>
                <w:szCs w:val="24"/>
              </w:rPr>
              <w:t>Employee retirement plans (403(b), 401(a), 457) are employer-compensated payroll deducted plans.</w:t>
            </w:r>
            <w:r>
              <w:rPr>
                <w:szCs w:val="24"/>
              </w:rPr>
              <w:t xml:space="preserve"> </w:t>
            </w:r>
            <w:r w:rsidRPr="002F6315">
              <w:rPr>
                <w:szCs w:val="24"/>
              </w:rPr>
              <w:t xml:space="preserve"> Workers’ Compensation (002) and/or Short Term Disability Plan payments (062) for approved work-related disabilities are </w:t>
            </w:r>
            <w:r w:rsidRPr="009757B2">
              <w:rPr>
                <w:b/>
                <w:szCs w:val="24"/>
              </w:rPr>
              <w:t>not</w:t>
            </w:r>
            <w:r w:rsidRPr="002F6315">
              <w:rPr>
                <w:szCs w:val="24"/>
              </w:rPr>
              <w:t xml:space="preserve"> employer payroll compensation</w:t>
            </w:r>
            <w:r w:rsidR="00866D8C">
              <w:rPr>
                <w:szCs w:val="24"/>
              </w:rPr>
              <w:t>,</w:t>
            </w:r>
            <w:r>
              <w:rPr>
                <w:szCs w:val="24"/>
              </w:rPr>
              <w:t xml:space="preserve"> </w:t>
            </w:r>
            <w:r w:rsidRPr="002F6315">
              <w:rPr>
                <w:szCs w:val="24"/>
              </w:rPr>
              <w:t>they are a benefit;</w:t>
            </w:r>
            <w:r>
              <w:rPr>
                <w:szCs w:val="24"/>
              </w:rPr>
              <w:t xml:space="preserve"> </w:t>
            </w:r>
            <w:r w:rsidRPr="002F6315">
              <w:rPr>
                <w:szCs w:val="24"/>
              </w:rPr>
              <w:t>therefore, they</w:t>
            </w:r>
            <w:r>
              <w:rPr>
                <w:szCs w:val="24"/>
              </w:rPr>
              <w:t xml:space="preserve"> </w:t>
            </w:r>
            <w:r w:rsidRPr="002F6315">
              <w:rPr>
                <w:szCs w:val="24"/>
              </w:rPr>
              <w:t>are not eligible for pre-tax retirement deductions/reductions.</w:t>
            </w:r>
            <w:r>
              <w:rPr>
                <w:szCs w:val="24"/>
              </w:rPr>
              <w:t xml:space="preserve"> </w:t>
            </w:r>
            <w:r w:rsidRPr="002F6315">
              <w:rPr>
                <w:szCs w:val="24"/>
              </w:rPr>
              <w:t xml:space="preserve"> Also, payments from these retirement plans are generally distributed to employees post-tax.  In addition, remember that there is no Cash Match if there is no employee contribution. </w:t>
            </w:r>
          </w:p>
        </w:tc>
      </w:tr>
    </w:tbl>
    <w:p w:rsidR="00E64B6B" w:rsidRDefault="00E64B6B" w:rsidP="00E64B6B">
      <w:pPr>
        <w:pStyle w:val="BlockLine"/>
        <w:ind w:left="1620"/>
      </w:pPr>
    </w:p>
    <w:p w:rsidR="00CA1614" w:rsidRPr="002F6315" w:rsidRDefault="00CA1614" w:rsidP="00CA1614">
      <w:pPr>
        <w:rPr>
          <w:sz w:val="28"/>
          <w:szCs w:val="28"/>
        </w:rPr>
      </w:pPr>
      <w:r>
        <w:rPr>
          <w:rFonts w:ascii="Times New Roman Bold" w:hAnsi="Times New Roman Bold"/>
          <w:sz w:val="28"/>
          <w:szCs w:val="28"/>
        </w:rPr>
        <w:t>Best Practice: Health</w:t>
      </w:r>
      <w:r w:rsidR="003E5F66">
        <w:rPr>
          <w:rFonts w:ascii="Times New Roman Bold" w:hAnsi="Times New Roman Bold"/>
          <w:sz w:val="28"/>
          <w:szCs w:val="28"/>
        </w:rPr>
        <w:t>c</w:t>
      </w:r>
      <w:r>
        <w:rPr>
          <w:rFonts w:ascii="Times New Roman Bold" w:hAnsi="Times New Roman Bold"/>
          <w:sz w:val="28"/>
          <w:szCs w:val="28"/>
        </w:rPr>
        <w:t>are Payment from LWOP / WTA Employees</w:t>
      </w:r>
    </w:p>
    <w:p w:rsidR="00CA1614" w:rsidRDefault="00CA1614" w:rsidP="00CA1614">
      <w:pPr>
        <w:pStyle w:val="BlockLine"/>
        <w:ind w:left="1350"/>
        <w:rPr>
          <w:sz w:val="16"/>
          <w:szCs w:val="16"/>
        </w:rPr>
      </w:pPr>
    </w:p>
    <w:tbl>
      <w:tblPr>
        <w:tblW w:w="10188" w:type="dxa"/>
        <w:tblLayout w:type="fixed"/>
        <w:tblLook w:val="0000"/>
      </w:tblPr>
      <w:tblGrid>
        <w:gridCol w:w="1998"/>
        <w:gridCol w:w="8190"/>
      </w:tblGrid>
      <w:tr w:rsidR="00CA1614" w:rsidRPr="003C662B" w:rsidTr="00CA1614">
        <w:trPr>
          <w:cantSplit/>
          <w:trHeight w:val="1485"/>
        </w:trPr>
        <w:tc>
          <w:tcPr>
            <w:tcW w:w="1998" w:type="dxa"/>
          </w:tcPr>
          <w:p w:rsidR="00CA1614" w:rsidRPr="00A64394" w:rsidRDefault="00CA1614" w:rsidP="00CA1614">
            <w:pPr>
              <w:pStyle w:val="Heading5"/>
              <w:rPr>
                <w:rFonts w:ascii="Times New Roman Bold" w:hAnsi="Times New Roman Bold"/>
                <w:bCs/>
                <w:sz w:val="24"/>
                <w:szCs w:val="24"/>
              </w:rPr>
            </w:pPr>
            <w:r>
              <w:rPr>
                <w:rFonts w:ascii="Times New Roman Bold" w:hAnsi="Times New Roman Bold"/>
                <w:bCs/>
                <w:sz w:val="24"/>
                <w:szCs w:val="24"/>
              </w:rPr>
              <w:t xml:space="preserve">Copy of Employee Check </w:t>
            </w:r>
          </w:p>
        </w:tc>
        <w:tc>
          <w:tcPr>
            <w:tcW w:w="8190" w:type="dxa"/>
          </w:tcPr>
          <w:p w:rsidR="00CA1614" w:rsidRPr="00A64394" w:rsidRDefault="00CA1614" w:rsidP="003E5F66">
            <w:pPr>
              <w:rPr>
                <w:sz w:val="22"/>
                <w:szCs w:val="22"/>
              </w:rPr>
            </w:pPr>
            <w:r>
              <w:rPr>
                <w:sz w:val="22"/>
                <w:szCs w:val="22"/>
              </w:rPr>
              <w:t>When an employee continues health</w:t>
            </w:r>
            <w:r w:rsidR="003E5F66">
              <w:rPr>
                <w:sz w:val="22"/>
                <w:szCs w:val="22"/>
              </w:rPr>
              <w:t>c</w:t>
            </w:r>
            <w:r>
              <w:rPr>
                <w:sz w:val="22"/>
                <w:szCs w:val="22"/>
              </w:rPr>
              <w:t>care coverage but is no longer receiving payments through payroll the employee is required to provide the employee portion of premiums by the first of the month of coverage.  Agencies should maintain a copy of that payment with the monthly health</w:t>
            </w:r>
            <w:r w:rsidR="003E5F66">
              <w:rPr>
                <w:sz w:val="22"/>
                <w:szCs w:val="22"/>
              </w:rPr>
              <w:t>ca</w:t>
            </w:r>
            <w:r>
              <w:rPr>
                <w:sz w:val="22"/>
                <w:szCs w:val="22"/>
              </w:rPr>
              <w:t>re certification package as evidence that the funds were received reimbursing the agency for the automated charge.  This will enhance the documentation presented to an audit review by the Auditor of Public Accounts.</w:t>
            </w:r>
          </w:p>
        </w:tc>
      </w:tr>
    </w:tbl>
    <w:p w:rsidR="00CA1614" w:rsidRDefault="00CA1614" w:rsidP="00CA1614">
      <w:pPr>
        <w:pStyle w:val="BlockLine"/>
        <w:ind w:left="1620"/>
      </w:pPr>
    </w:p>
    <w:p w:rsidR="00E64B6B" w:rsidRPr="00C64B98" w:rsidRDefault="00E64B6B" w:rsidP="00C64B98"/>
    <w:sectPr w:rsidR="00E64B6B" w:rsidRPr="00C64B98" w:rsidSect="00BA0A2C">
      <w:headerReference w:type="default" r:id="rId11"/>
      <w:footerReference w:type="default" r:id="rId12"/>
      <w:pgSz w:w="12240" w:h="15840" w:code="1"/>
      <w:pgMar w:top="720" w:right="1152" w:bottom="360" w:left="1152" w:header="288"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47" w:rsidRDefault="00CD0647">
      <w:r>
        <w:separator/>
      </w:r>
    </w:p>
  </w:endnote>
  <w:endnote w:type="continuationSeparator" w:id="0">
    <w:p w:rsidR="00CD0647" w:rsidRDefault="00CD0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14" w:rsidRDefault="00CA1614" w:rsidP="00DD1147">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sidR="001B4798">
      <w:rPr>
        <w:rStyle w:val="PageNumber"/>
      </w:rPr>
      <w:fldChar w:fldCharType="begin"/>
    </w:r>
    <w:r>
      <w:rPr>
        <w:rStyle w:val="PageNumber"/>
      </w:rPr>
      <w:instrText xml:space="preserve"> PAGE </w:instrText>
    </w:r>
    <w:r w:rsidR="001B4798">
      <w:rPr>
        <w:rStyle w:val="PageNumber"/>
      </w:rPr>
      <w:fldChar w:fldCharType="separate"/>
    </w:r>
    <w:r w:rsidR="00CA642F">
      <w:rPr>
        <w:rStyle w:val="PageNumber"/>
        <w:noProof/>
      </w:rPr>
      <w:t>4</w:t>
    </w:r>
    <w:r w:rsidR="001B4798">
      <w:rPr>
        <w:rStyle w:val="PageNumber"/>
      </w:rPr>
      <w:fldChar w:fldCharType="end"/>
    </w:r>
    <w:r>
      <w:rPr>
        <w:rStyle w:val="PageNumber"/>
        <w:snapToGrid w:val="0"/>
        <w:sz w:val="22"/>
      </w:rPr>
      <w:t xml:space="preserve"> of </w:t>
    </w:r>
    <w:r w:rsidR="001B4798">
      <w:rPr>
        <w:rStyle w:val="PageNumber"/>
      </w:rPr>
      <w:fldChar w:fldCharType="begin"/>
    </w:r>
    <w:r>
      <w:rPr>
        <w:rStyle w:val="PageNumber"/>
      </w:rPr>
      <w:instrText xml:space="preserve"> NUMPAGES </w:instrText>
    </w:r>
    <w:r w:rsidR="001B4798">
      <w:rPr>
        <w:rStyle w:val="PageNumber"/>
      </w:rPr>
      <w:fldChar w:fldCharType="separate"/>
    </w:r>
    <w:r w:rsidR="00CA642F">
      <w:rPr>
        <w:rStyle w:val="PageNumber"/>
        <w:noProof/>
      </w:rPr>
      <w:t>4</w:t>
    </w:r>
    <w:r w:rsidR="001B4798">
      <w:rPr>
        <w:rStyle w:val="PageNumber"/>
      </w:rPr>
      <w:fldChar w:fldCharType="end"/>
    </w:r>
  </w:p>
  <w:p w:rsidR="00CA1614" w:rsidRPr="00CB0FD2" w:rsidRDefault="001B4798" w:rsidP="00CB0FD2">
    <w:pPr>
      <w:pStyle w:val="NormalWeb"/>
      <w:jc w:val="center"/>
      <w:rPr>
        <w:rFonts w:ascii="Times New Roman" w:hAnsi="Times New Roman" w:cs="Arial"/>
        <w:sz w:val="20"/>
        <w:szCs w:val="22"/>
      </w:rPr>
    </w:pPr>
    <w:hyperlink r:id="rId1" w:tooltip="http://www.doa.virginia.gov/Payroll/Payroll_Bulletins/Payroll_Bulletins_Main.cfm" w:history="1">
      <w:r w:rsidR="00CA1614" w:rsidRPr="00CB0FD2">
        <w:rPr>
          <w:rStyle w:val="Hyperlink"/>
          <w:rFonts w:ascii="Times New Roman" w:hAnsi="Times New Roman"/>
          <w:i/>
          <w:iCs/>
          <w:snapToGrid w:val="0"/>
          <w:color w:val="auto"/>
          <w:sz w:val="22"/>
          <w:szCs w:val="22"/>
        </w:rPr>
        <w:t>http://www.doa.virginia.gov/Payroll/Payroll_Bulletins/Payroll_Bulletins_Main.cfm</w:t>
      </w:r>
    </w:hyperlink>
  </w:p>
  <w:p w:rsidR="00CA1614" w:rsidRPr="00AB6684" w:rsidRDefault="00CA1614" w:rsidP="00BA0A2C">
    <w:pPr>
      <w:pStyle w:val="Footer"/>
      <w:pBdr>
        <w:top w:val="single" w:sz="6" w:space="0" w:color="auto"/>
      </w:pBdr>
      <w:tabs>
        <w:tab w:val="clear" w:pos="4320"/>
        <w:tab w:val="clear" w:pos="8640"/>
        <w:tab w:val="left" w:pos="5940"/>
      </w:tabs>
      <w:ind w:right="-414"/>
      <w:jc w:val="center"/>
      <w:rPr>
        <w:i/>
        <w:snapToGrid w:val="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47" w:rsidRDefault="00CD0647">
      <w:r>
        <w:separator/>
      </w:r>
    </w:p>
  </w:footnote>
  <w:footnote w:type="continuationSeparator" w:id="0">
    <w:p w:rsidR="00CD0647" w:rsidRDefault="00CD0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14" w:rsidRDefault="00CA1614" w:rsidP="0022524D">
    <w:pPr>
      <w:pStyle w:val="Header"/>
      <w:jc w:val="center"/>
      <w:rPr>
        <w:sz w:val="16"/>
      </w:rPr>
    </w:pPr>
  </w:p>
  <w:tbl>
    <w:tblPr>
      <w:tblW w:w="10188" w:type="dxa"/>
      <w:tblLayout w:type="fixed"/>
      <w:tblLook w:val="0000"/>
    </w:tblPr>
    <w:tblGrid>
      <w:gridCol w:w="3366"/>
      <w:gridCol w:w="3366"/>
      <w:gridCol w:w="3456"/>
    </w:tblGrid>
    <w:tr w:rsidR="00CA1614" w:rsidTr="00A97993">
      <w:trPr>
        <w:cantSplit/>
      </w:trPr>
      <w:tc>
        <w:tcPr>
          <w:tcW w:w="3366" w:type="dxa"/>
          <w:tcBorders>
            <w:bottom w:val="double" w:sz="6" w:space="0" w:color="auto"/>
          </w:tcBorders>
        </w:tcPr>
        <w:p w:rsidR="00CA1614" w:rsidRDefault="00CA1614" w:rsidP="000B28B1">
          <w:pPr>
            <w:pStyle w:val="Header"/>
            <w:rPr>
              <w:b/>
              <w:sz w:val="20"/>
            </w:rPr>
          </w:pPr>
          <w:r>
            <w:rPr>
              <w:b/>
              <w:sz w:val="20"/>
            </w:rPr>
            <w:t>Calendar Year 2015</w:t>
          </w:r>
        </w:p>
      </w:tc>
      <w:tc>
        <w:tcPr>
          <w:tcW w:w="3366" w:type="dxa"/>
          <w:tcBorders>
            <w:bottom w:val="double" w:sz="6" w:space="0" w:color="auto"/>
          </w:tcBorders>
        </w:tcPr>
        <w:p w:rsidR="00CA1614" w:rsidRDefault="00CA1614" w:rsidP="00AC21E2">
          <w:pPr>
            <w:pStyle w:val="Header"/>
            <w:jc w:val="center"/>
            <w:rPr>
              <w:b/>
              <w:sz w:val="20"/>
            </w:rPr>
          </w:pPr>
          <w:r>
            <w:rPr>
              <w:b/>
              <w:sz w:val="20"/>
            </w:rPr>
            <w:t>July 2</w:t>
          </w:r>
          <w:r w:rsidR="00AC21E2">
            <w:rPr>
              <w:b/>
              <w:sz w:val="20"/>
            </w:rPr>
            <w:t>4</w:t>
          </w:r>
          <w:r>
            <w:rPr>
              <w:b/>
              <w:sz w:val="20"/>
            </w:rPr>
            <w:t>, 2015</w:t>
          </w:r>
        </w:p>
      </w:tc>
      <w:tc>
        <w:tcPr>
          <w:tcW w:w="3456" w:type="dxa"/>
          <w:tcBorders>
            <w:bottom w:val="double" w:sz="6" w:space="0" w:color="auto"/>
          </w:tcBorders>
        </w:tcPr>
        <w:p w:rsidR="00CA1614" w:rsidRDefault="00CA1614" w:rsidP="007A1CB6">
          <w:pPr>
            <w:pStyle w:val="Header"/>
            <w:jc w:val="right"/>
            <w:rPr>
              <w:b/>
              <w:sz w:val="20"/>
            </w:rPr>
          </w:pPr>
          <w:r>
            <w:rPr>
              <w:b/>
              <w:sz w:val="20"/>
            </w:rPr>
            <w:t>Volume 2015-08</w:t>
          </w:r>
        </w:p>
      </w:tc>
    </w:tr>
  </w:tbl>
  <w:p w:rsidR="00CA1614" w:rsidRDefault="00CA1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5"/>
  </w:num>
  <w:num w:numId="2">
    <w:abstractNumId w:val="2"/>
  </w:num>
  <w:num w:numId="3">
    <w:abstractNumId w:val="0"/>
  </w:num>
  <w:num w:numId="4">
    <w:abstractNumId w:val="3"/>
  </w:num>
  <w:num w:numId="5">
    <w:abstractNumId w:val="1"/>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0D0C78"/>
    <w:rsid w:val="00014DB8"/>
    <w:rsid w:val="000209CA"/>
    <w:rsid w:val="000229A0"/>
    <w:rsid w:val="00043BD6"/>
    <w:rsid w:val="00054804"/>
    <w:rsid w:val="0007530F"/>
    <w:rsid w:val="00082E11"/>
    <w:rsid w:val="000A3E0D"/>
    <w:rsid w:val="000B28B1"/>
    <w:rsid w:val="000C68B5"/>
    <w:rsid w:val="000D0C78"/>
    <w:rsid w:val="000D74B2"/>
    <w:rsid w:val="000E78C4"/>
    <w:rsid w:val="0010004E"/>
    <w:rsid w:val="00142D4F"/>
    <w:rsid w:val="00145C24"/>
    <w:rsid w:val="00145CE4"/>
    <w:rsid w:val="00151C52"/>
    <w:rsid w:val="001606F6"/>
    <w:rsid w:val="001834DC"/>
    <w:rsid w:val="001855DF"/>
    <w:rsid w:val="00186D13"/>
    <w:rsid w:val="001908BF"/>
    <w:rsid w:val="00192D99"/>
    <w:rsid w:val="001B4798"/>
    <w:rsid w:val="001D79E3"/>
    <w:rsid w:val="001E07BF"/>
    <w:rsid w:val="001E3CD4"/>
    <w:rsid w:val="002004BF"/>
    <w:rsid w:val="002066C6"/>
    <w:rsid w:val="0021369D"/>
    <w:rsid w:val="00224F21"/>
    <w:rsid w:val="0022524D"/>
    <w:rsid w:val="002431D0"/>
    <w:rsid w:val="0024614F"/>
    <w:rsid w:val="002544F2"/>
    <w:rsid w:val="00282CD8"/>
    <w:rsid w:val="00284B3E"/>
    <w:rsid w:val="002B6B60"/>
    <w:rsid w:val="002C679F"/>
    <w:rsid w:val="002D27FC"/>
    <w:rsid w:val="002F6315"/>
    <w:rsid w:val="00304AD9"/>
    <w:rsid w:val="0030589E"/>
    <w:rsid w:val="00307DE8"/>
    <w:rsid w:val="00333FFF"/>
    <w:rsid w:val="00357B76"/>
    <w:rsid w:val="00363289"/>
    <w:rsid w:val="003857CD"/>
    <w:rsid w:val="003A1E02"/>
    <w:rsid w:val="003B09C4"/>
    <w:rsid w:val="003B0EC9"/>
    <w:rsid w:val="003B54DA"/>
    <w:rsid w:val="003C2DBC"/>
    <w:rsid w:val="003D27B3"/>
    <w:rsid w:val="003D6CB6"/>
    <w:rsid w:val="003E210F"/>
    <w:rsid w:val="003E3ABB"/>
    <w:rsid w:val="003E5F66"/>
    <w:rsid w:val="003E6672"/>
    <w:rsid w:val="003F56A1"/>
    <w:rsid w:val="004029E1"/>
    <w:rsid w:val="00402E35"/>
    <w:rsid w:val="004072E7"/>
    <w:rsid w:val="0041061D"/>
    <w:rsid w:val="00411394"/>
    <w:rsid w:val="00443137"/>
    <w:rsid w:val="004454CA"/>
    <w:rsid w:val="00484094"/>
    <w:rsid w:val="004A11AF"/>
    <w:rsid w:val="004A18BA"/>
    <w:rsid w:val="004A1959"/>
    <w:rsid w:val="004F5173"/>
    <w:rsid w:val="005059D8"/>
    <w:rsid w:val="00545EED"/>
    <w:rsid w:val="005464B5"/>
    <w:rsid w:val="0056085F"/>
    <w:rsid w:val="00562AD7"/>
    <w:rsid w:val="005668A2"/>
    <w:rsid w:val="00573015"/>
    <w:rsid w:val="00574539"/>
    <w:rsid w:val="005759A7"/>
    <w:rsid w:val="00586656"/>
    <w:rsid w:val="005914E1"/>
    <w:rsid w:val="00595482"/>
    <w:rsid w:val="005964A7"/>
    <w:rsid w:val="005A2EF4"/>
    <w:rsid w:val="005A7200"/>
    <w:rsid w:val="005B3E5E"/>
    <w:rsid w:val="005C1612"/>
    <w:rsid w:val="005F11CB"/>
    <w:rsid w:val="005F1B4E"/>
    <w:rsid w:val="00604F07"/>
    <w:rsid w:val="00605949"/>
    <w:rsid w:val="00625AD5"/>
    <w:rsid w:val="006376CF"/>
    <w:rsid w:val="00663266"/>
    <w:rsid w:val="00666FEE"/>
    <w:rsid w:val="0067449B"/>
    <w:rsid w:val="00690402"/>
    <w:rsid w:val="006C3D85"/>
    <w:rsid w:val="006E39C8"/>
    <w:rsid w:val="00700615"/>
    <w:rsid w:val="00713C0F"/>
    <w:rsid w:val="007410A9"/>
    <w:rsid w:val="00763A54"/>
    <w:rsid w:val="007750D1"/>
    <w:rsid w:val="00795E38"/>
    <w:rsid w:val="007A1CB6"/>
    <w:rsid w:val="007A39C2"/>
    <w:rsid w:val="007A45E6"/>
    <w:rsid w:val="007A6CA6"/>
    <w:rsid w:val="007C13DE"/>
    <w:rsid w:val="007D253D"/>
    <w:rsid w:val="007D58FF"/>
    <w:rsid w:val="007E70AD"/>
    <w:rsid w:val="00801B20"/>
    <w:rsid w:val="00813465"/>
    <w:rsid w:val="00813664"/>
    <w:rsid w:val="008601F2"/>
    <w:rsid w:val="008605E3"/>
    <w:rsid w:val="00866D8C"/>
    <w:rsid w:val="008869DA"/>
    <w:rsid w:val="00890110"/>
    <w:rsid w:val="008A0C0D"/>
    <w:rsid w:val="008A1F54"/>
    <w:rsid w:val="008C46BD"/>
    <w:rsid w:val="008C532E"/>
    <w:rsid w:val="008D453C"/>
    <w:rsid w:val="008E75C6"/>
    <w:rsid w:val="008E79A4"/>
    <w:rsid w:val="008F7BB9"/>
    <w:rsid w:val="00906909"/>
    <w:rsid w:val="00907D28"/>
    <w:rsid w:val="009170A0"/>
    <w:rsid w:val="00923A80"/>
    <w:rsid w:val="009446A6"/>
    <w:rsid w:val="00946683"/>
    <w:rsid w:val="00952C2D"/>
    <w:rsid w:val="0097229C"/>
    <w:rsid w:val="009757B2"/>
    <w:rsid w:val="0099065A"/>
    <w:rsid w:val="00993D57"/>
    <w:rsid w:val="00996E78"/>
    <w:rsid w:val="009A1992"/>
    <w:rsid w:val="009A1ED1"/>
    <w:rsid w:val="009B12EC"/>
    <w:rsid w:val="009D605A"/>
    <w:rsid w:val="009E5B20"/>
    <w:rsid w:val="009F1038"/>
    <w:rsid w:val="009F7CC0"/>
    <w:rsid w:val="00A25262"/>
    <w:rsid w:val="00A302AF"/>
    <w:rsid w:val="00A33753"/>
    <w:rsid w:val="00A3637D"/>
    <w:rsid w:val="00A50814"/>
    <w:rsid w:val="00A51427"/>
    <w:rsid w:val="00A652B4"/>
    <w:rsid w:val="00A7780F"/>
    <w:rsid w:val="00A9101F"/>
    <w:rsid w:val="00A94B4A"/>
    <w:rsid w:val="00A97993"/>
    <w:rsid w:val="00AA24CF"/>
    <w:rsid w:val="00AB148F"/>
    <w:rsid w:val="00AC21E2"/>
    <w:rsid w:val="00AC2383"/>
    <w:rsid w:val="00AD1D8A"/>
    <w:rsid w:val="00AD77F3"/>
    <w:rsid w:val="00AE0AA4"/>
    <w:rsid w:val="00AE4277"/>
    <w:rsid w:val="00B00670"/>
    <w:rsid w:val="00B027AD"/>
    <w:rsid w:val="00B377F5"/>
    <w:rsid w:val="00B37C23"/>
    <w:rsid w:val="00B40842"/>
    <w:rsid w:val="00B437F3"/>
    <w:rsid w:val="00B532BA"/>
    <w:rsid w:val="00B56C4E"/>
    <w:rsid w:val="00B84CB0"/>
    <w:rsid w:val="00B87D23"/>
    <w:rsid w:val="00BA0A2C"/>
    <w:rsid w:val="00BA2F1B"/>
    <w:rsid w:val="00BA66C6"/>
    <w:rsid w:val="00BC7496"/>
    <w:rsid w:val="00BD79A3"/>
    <w:rsid w:val="00BF068C"/>
    <w:rsid w:val="00C11B29"/>
    <w:rsid w:val="00C12718"/>
    <w:rsid w:val="00C278C3"/>
    <w:rsid w:val="00C3692E"/>
    <w:rsid w:val="00C45485"/>
    <w:rsid w:val="00C520C1"/>
    <w:rsid w:val="00C5471B"/>
    <w:rsid w:val="00C54930"/>
    <w:rsid w:val="00C55E26"/>
    <w:rsid w:val="00C63DA8"/>
    <w:rsid w:val="00C64B98"/>
    <w:rsid w:val="00C74456"/>
    <w:rsid w:val="00C753A7"/>
    <w:rsid w:val="00CA1614"/>
    <w:rsid w:val="00CA642F"/>
    <w:rsid w:val="00CB0FD2"/>
    <w:rsid w:val="00CD0647"/>
    <w:rsid w:val="00CD4B3F"/>
    <w:rsid w:val="00CE18D8"/>
    <w:rsid w:val="00CE2BF4"/>
    <w:rsid w:val="00CE5E54"/>
    <w:rsid w:val="00CF4479"/>
    <w:rsid w:val="00CF5444"/>
    <w:rsid w:val="00D16D84"/>
    <w:rsid w:val="00D23F49"/>
    <w:rsid w:val="00D355DD"/>
    <w:rsid w:val="00D36665"/>
    <w:rsid w:val="00D548AF"/>
    <w:rsid w:val="00D814ED"/>
    <w:rsid w:val="00D91CF8"/>
    <w:rsid w:val="00D93B92"/>
    <w:rsid w:val="00D96E2A"/>
    <w:rsid w:val="00DA1375"/>
    <w:rsid w:val="00DD1147"/>
    <w:rsid w:val="00DD1A6E"/>
    <w:rsid w:val="00DE0E60"/>
    <w:rsid w:val="00E02938"/>
    <w:rsid w:val="00E03297"/>
    <w:rsid w:val="00E240DA"/>
    <w:rsid w:val="00E278AD"/>
    <w:rsid w:val="00E46605"/>
    <w:rsid w:val="00E563C9"/>
    <w:rsid w:val="00E64B6B"/>
    <w:rsid w:val="00E8444C"/>
    <w:rsid w:val="00E87A3D"/>
    <w:rsid w:val="00EA67F0"/>
    <w:rsid w:val="00EB773E"/>
    <w:rsid w:val="00ED7A73"/>
    <w:rsid w:val="00EE0021"/>
    <w:rsid w:val="00EF2B82"/>
    <w:rsid w:val="00EF3BA6"/>
    <w:rsid w:val="00F215C2"/>
    <w:rsid w:val="00F3320E"/>
    <w:rsid w:val="00F43DB3"/>
    <w:rsid w:val="00F54415"/>
    <w:rsid w:val="00F81A28"/>
    <w:rsid w:val="00F84B23"/>
    <w:rsid w:val="00F866F0"/>
    <w:rsid w:val="00F878FB"/>
    <w:rsid w:val="00F95DA3"/>
    <w:rsid w:val="00FA65B1"/>
    <w:rsid w:val="00FB28AA"/>
    <w:rsid w:val="00FC5FA7"/>
    <w:rsid w:val="00FC71E5"/>
    <w:rsid w:val="00FD0E6C"/>
    <w:rsid w:val="00FD1575"/>
    <w:rsid w:val="00FD187D"/>
    <w:rsid w:val="00FD41DA"/>
    <w:rsid w:val="00FF0E12"/>
    <w:rsid w:val="00FF1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s>
</file>

<file path=word/webSettings.xml><?xml version="1.0" encoding="utf-8"?>
<w:webSettings xmlns:r="http://schemas.openxmlformats.org/officeDocument/2006/relationships" xmlns:w="http://schemas.openxmlformats.org/wordprocessingml/2006/main">
  <w:divs>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m.virginia.gov/agencyhumanresourceservices/compensationmem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CPlansHybrid@varetire.org" TargetMode="External"/><Relationship Id="rId4" Type="http://schemas.openxmlformats.org/officeDocument/2006/relationships/webSettings" Target="webSettings.xml"/><Relationship Id="rId9" Type="http://schemas.openxmlformats.org/officeDocument/2006/relationships/hyperlink" Target="http://www.varetirement.org/hybridemployer/form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32</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8001</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2015-08</dc:title>
  <dc:subject>Payroll Bulletin 2015-08</dc:subject>
  <dc:creator>Virginia Department of Accounts</dc:creator>
  <cp:keywords>Payroll Bulletin 2015-08</cp:keywords>
  <dc:description>Payroll Bulletin 2015-08`</dc:description>
  <cp:lastModifiedBy>qtn58488</cp:lastModifiedBy>
  <cp:revision>13</cp:revision>
  <cp:lastPrinted>2012-09-07T16:24:00Z</cp:lastPrinted>
  <dcterms:created xsi:type="dcterms:W3CDTF">2015-07-23T20:20:00Z</dcterms:created>
  <dcterms:modified xsi:type="dcterms:W3CDTF">2015-07-24T18:37:00Z</dcterms:modified>
  <cp:category>Payroll Bulletin 2015-08</cp:category>
</cp:coreProperties>
</file>