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F329A5">
            <w:pPr>
              <w:pStyle w:val="Header"/>
              <w:rPr>
                <w:b/>
                <w:sz w:val="20"/>
              </w:rPr>
            </w:pPr>
            <w:r>
              <w:rPr>
                <w:b/>
                <w:sz w:val="20"/>
              </w:rPr>
              <w:t xml:space="preserve">Calendar Year </w:t>
            </w:r>
            <w:r w:rsidR="00304474">
              <w:rPr>
                <w:b/>
                <w:sz w:val="20"/>
              </w:rPr>
              <w:t>201</w:t>
            </w:r>
            <w:r w:rsidR="00F329A5">
              <w:rPr>
                <w:b/>
                <w:sz w:val="20"/>
              </w:rPr>
              <w:t>5</w:t>
            </w:r>
          </w:p>
        </w:tc>
        <w:tc>
          <w:tcPr>
            <w:tcW w:w="3366" w:type="dxa"/>
            <w:tcBorders>
              <w:bottom w:val="double" w:sz="6" w:space="0" w:color="auto"/>
            </w:tcBorders>
          </w:tcPr>
          <w:p w:rsidR="007C617C" w:rsidRDefault="00FF151D" w:rsidP="00F329A5">
            <w:pPr>
              <w:pStyle w:val="Header"/>
              <w:jc w:val="center"/>
              <w:rPr>
                <w:b/>
                <w:sz w:val="20"/>
              </w:rPr>
            </w:pPr>
            <w:r>
              <w:rPr>
                <w:b/>
                <w:sz w:val="20"/>
              </w:rPr>
              <w:t>November</w:t>
            </w:r>
            <w:r w:rsidR="00957C24">
              <w:rPr>
                <w:b/>
                <w:sz w:val="20"/>
              </w:rPr>
              <w:t xml:space="preserve"> </w:t>
            </w:r>
            <w:r w:rsidR="00F329A5">
              <w:rPr>
                <w:b/>
                <w:sz w:val="20"/>
              </w:rPr>
              <w:t>2</w:t>
            </w:r>
            <w:r w:rsidR="00957C24">
              <w:rPr>
                <w:b/>
                <w:sz w:val="20"/>
              </w:rPr>
              <w:t>, 201</w:t>
            </w:r>
            <w:r w:rsidR="00EB6D63">
              <w:rPr>
                <w:b/>
                <w:sz w:val="20"/>
              </w:rPr>
              <w:t>5</w:t>
            </w:r>
          </w:p>
        </w:tc>
        <w:tc>
          <w:tcPr>
            <w:tcW w:w="4176" w:type="dxa"/>
            <w:tcBorders>
              <w:bottom w:val="double" w:sz="6" w:space="0" w:color="auto"/>
            </w:tcBorders>
          </w:tcPr>
          <w:p w:rsidR="007C617C" w:rsidRDefault="007C617C" w:rsidP="00F329A5">
            <w:pPr>
              <w:pStyle w:val="Header"/>
              <w:jc w:val="right"/>
              <w:rPr>
                <w:b/>
                <w:sz w:val="20"/>
              </w:rPr>
            </w:pPr>
            <w:r>
              <w:rPr>
                <w:b/>
                <w:sz w:val="20"/>
              </w:rPr>
              <w:t xml:space="preserve">Volume </w:t>
            </w:r>
            <w:r w:rsidR="00304474">
              <w:rPr>
                <w:b/>
                <w:sz w:val="20"/>
              </w:rPr>
              <w:t>201</w:t>
            </w:r>
            <w:r w:rsidR="00F329A5">
              <w:rPr>
                <w:b/>
                <w:sz w:val="20"/>
              </w:rPr>
              <w:t>5</w:t>
            </w:r>
            <w:r w:rsidR="00304474">
              <w:rPr>
                <w:b/>
                <w:sz w:val="20"/>
              </w:rPr>
              <w:t>-</w:t>
            </w:r>
            <w:r w:rsidR="007554A7">
              <w:rPr>
                <w:b/>
                <w:sz w:val="20"/>
              </w:rPr>
              <w:t>1</w:t>
            </w:r>
            <w:r w:rsidR="00F329A5">
              <w:rPr>
                <w:b/>
                <w:sz w:val="20"/>
              </w:rPr>
              <w:t>2</w:t>
            </w:r>
            <w:r>
              <w:rPr>
                <w:b/>
                <w:sz w:val="20"/>
              </w:rPr>
              <w:t xml:space="preserve"> </w:t>
            </w:r>
          </w:p>
        </w:tc>
      </w:tr>
    </w:tbl>
    <w:p w:rsidR="00ED0B4A" w:rsidRPr="00D467F1" w:rsidRDefault="00ED0B4A" w:rsidP="00ED0B4A">
      <w:pPr>
        <w:rPr>
          <w:sz w:val="16"/>
          <w:szCs w:val="16"/>
        </w:rPr>
      </w:pPr>
    </w:p>
    <w:tbl>
      <w:tblPr>
        <w:tblW w:w="11109" w:type="dxa"/>
        <w:jc w:val="center"/>
        <w:tblInd w:w="81" w:type="dxa"/>
        <w:tblLook w:val="01E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12875" w:rsidRPr="00170449" w:rsidRDefault="001E5787" w:rsidP="00366A23">
            <w:pPr>
              <w:numPr>
                <w:ilvl w:val="0"/>
                <w:numId w:val="1"/>
              </w:numPr>
              <w:tabs>
                <w:tab w:val="left" w:pos="990"/>
              </w:tabs>
              <w:spacing w:before="60"/>
              <w:ind w:left="547"/>
              <w:rPr>
                <w:b/>
                <w:szCs w:val="24"/>
              </w:rPr>
            </w:pPr>
            <w:r w:rsidRPr="00170449">
              <w:rPr>
                <w:b/>
                <w:szCs w:val="24"/>
              </w:rPr>
              <w:t>Reclass</w:t>
            </w:r>
            <w:r w:rsidR="008921FC" w:rsidRPr="00170449">
              <w:rPr>
                <w:b/>
                <w:szCs w:val="24"/>
              </w:rPr>
              <w:t>ification</w:t>
            </w:r>
            <w:r w:rsidRPr="00170449">
              <w:rPr>
                <w:b/>
                <w:szCs w:val="24"/>
              </w:rPr>
              <w:t xml:space="preserve"> of Taxable Income for Flex Reimbursement Card Payments</w:t>
            </w:r>
          </w:p>
          <w:p w:rsidR="00970855" w:rsidRPr="00172018" w:rsidRDefault="00170449" w:rsidP="00170449">
            <w:pPr>
              <w:numPr>
                <w:ilvl w:val="0"/>
                <w:numId w:val="1"/>
              </w:numPr>
              <w:rPr>
                <w:b/>
                <w:szCs w:val="24"/>
              </w:rPr>
            </w:pPr>
            <w:r w:rsidRPr="00170449">
              <w:rPr>
                <w:b/>
                <w:szCs w:val="24"/>
              </w:rPr>
              <w:t>Name and Address Format Requirements</w:t>
            </w: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2775F4" w:rsidP="00E6267E">
            <w:pPr>
              <w:tabs>
                <w:tab w:val="left" w:pos="990"/>
              </w:tabs>
              <w:spacing w:before="120"/>
              <w:rPr>
                <w:szCs w:val="24"/>
              </w:rPr>
            </w:pPr>
            <w:r w:rsidRPr="00E6267E">
              <w:rPr>
                <w:sz w:val="20"/>
              </w:rPr>
              <w:t>Assistant Director          Cathy C. McGill</w:t>
            </w:r>
          </w:p>
        </w:tc>
      </w:tr>
    </w:tbl>
    <w:p w:rsidR="00E1485E" w:rsidRDefault="00E1485E" w:rsidP="00E1485E">
      <w:pPr>
        <w:pStyle w:val="BlockLine"/>
        <w:spacing w:before="0"/>
        <w:ind w:left="1354"/>
        <w:rPr>
          <w:sz w:val="16"/>
          <w:szCs w:val="16"/>
        </w:rPr>
      </w:pPr>
    </w:p>
    <w:p w:rsidR="00170449" w:rsidRDefault="00170449" w:rsidP="00170449">
      <w:pPr>
        <w:pStyle w:val="NormalWeb"/>
        <w:rPr>
          <w:b/>
          <w:bCs/>
          <w:color w:val="000000"/>
          <w:sz w:val="28"/>
          <w:szCs w:val="28"/>
        </w:rPr>
      </w:pPr>
      <w:r w:rsidRPr="00AC4E5F">
        <w:rPr>
          <w:b/>
          <w:bCs/>
          <w:color w:val="000000"/>
          <w:sz w:val="28"/>
          <w:szCs w:val="28"/>
        </w:rPr>
        <w:t>Reclassification of Taxable Income for Flexible Reimbursement Card Payments</w:t>
      </w:r>
    </w:p>
    <w:p w:rsidR="00C70B9F" w:rsidRDefault="00C70B9F" w:rsidP="00C70B9F">
      <w:pPr>
        <w:pStyle w:val="BlockLine"/>
        <w:ind w:left="1350"/>
        <w:rPr>
          <w:sz w:val="16"/>
          <w:szCs w:val="16"/>
        </w:rPr>
      </w:pPr>
    </w:p>
    <w:tbl>
      <w:tblPr>
        <w:tblW w:w="10188" w:type="dxa"/>
        <w:tblLayout w:type="fixed"/>
        <w:tblLook w:val="0000"/>
      </w:tblPr>
      <w:tblGrid>
        <w:gridCol w:w="1638"/>
        <w:gridCol w:w="8550"/>
      </w:tblGrid>
      <w:tr w:rsidR="00170449" w:rsidTr="00170449">
        <w:trPr>
          <w:cantSplit/>
          <w:trHeight w:val="2345"/>
        </w:trPr>
        <w:tc>
          <w:tcPr>
            <w:tcW w:w="1638" w:type="dxa"/>
          </w:tcPr>
          <w:p w:rsidR="00170449" w:rsidRPr="00AD0F5A" w:rsidRDefault="00170449" w:rsidP="00F329A5">
            <w:pPr>
              <w:pStyle w:val="Heading5"/>
              <w:rPr>
                <w:szCs w:val="22"/>
              </w:rPr>
            </w:pPr>
            <w:proofErr w:type="spellStart"/>
            <w:r>
              <w:rPr>
                <w:szCs w:val="22"/>
              </w:rPr>
              <w:t>Reclassifica-tion</w:t>
            </w:r>
            <w:proofErr w:type="spellEnd"/>
          </w:p>
        </w:tc>
        <w:tc>
          <w:tcPr>
            <w:tcW w:w="8550" w:type="dxa"/>
          </w:tcPr>
          <w:p w:rsidR="00170449" w:rsidRPr="001B322E" w:rsidRDefault="00170449" w:rsidP="00F329A5">
            <w:pPr>
              <w:autoSpaceDE w:val="0"/>
              <w:autoSpaceDN w:val="0"/>
              <w:adjustRightInd w:val="0"/>
              <w:rPr>
                <w:color w:val="000000"/>
                <w:szCs w:val="24"/>
              </w:rPr>
            </w:pPr>
            <w:r w:rsidRPr="001B322E">
              <w:rPr>
                <w:color w:val="000000"/>
                <w:szCs w:val="24"/>
              </w:rPr>
              <w:t xml:space="preserve">According to IRS guidelines (Revenue Ruling 2003-43, 2006-69), all Card transactions must be validated.  The TPA is permitted, under the IRS guidelines, to automatically validate (auto-adjudicate) certain transactions.  In the event that the TPA cannot auto-adjudicate card transactions, the TPA requests supporting documentation from the employee. If documentation is not received, then the </w:t>
            </w:r>
            <w:r w:rsidRPr="001B322E">
              <w:rPr>
                <w:bCs/>
                <w:color w:val="000000"/>
                <w:szCs w:val="24"/>
              </w:rPr>
              <w:t>outstanding transaction amounts must be reported to the Internal Revenue Service (IRS) as income on the employee’s W-2 form, and are subject to all applicable employment taxes (including federal and state income tax withholding and FICA)</w:t>
            </w:r>
            <w:r w:rsidRPr="001B322E">
              <w:rPr>
                <w:color w:val="000000"/>
                <w:szCs w:val="24"/>
              </w:rPr>
              <w:t>.</w:t>
            </w:r>
          </w:p>
        </w:tc>
      </w:tr>
    </w:tbl>
    <w:p w:rsidR="00170449" w:rsidRDefault="00170449"/>
    <w:tbl>
      <w:tblPr>
        <w:tblW w:w="10098" w:type="dxa"/>
        <w:tblLayout w:type="fixed"/>
        <w:tblLook w:val="0000"/>
      </w:tblPr>
      <w:tblGrid>
        <w:gridCol w:w="1728"/>
        <w:gridCol w:w="8370"/>
      </w:tblGrid>
      <w:tr w:rsidR="00170449" w:rsidRPr="00DB65DF" w:rsidTr="00170449">
        <w:trPr>
          <w:cantSplit/>
        </w:trPr>
        <w:tc>
          <w:tcPr>
            <w:tcW w:w="1728" w:type="dxa"/>
          </w:tcPr>
          <w:p w:rsidR="00170449" w:rsidRPr="00034295" w:rsidRDefault="00170449" w:rsidP="00F329A5">
            <w:pPr>
              <w:pStyle w:val="Heading5"/>
            </w:pPr>
            <w:r>
              <w:t>Automated Reclassification</w:t>
            </w:r>
          </w:p>
        </w:tc>
        <w:tc>
          <w:tcPr>
            <w:tcW w:w="8370" w:type="dxa"/>
          </w:tcPr>
          <w:p w:rsidR="00170449" w:rsidRPr="001B322E" w:rsidRDefault="00170449" w:rsidP="00E03D1D">
            <w:pPr>
              <w:pStyle w:val="BlockText"/>
              <w:rPr>
                <w:szCs w:val="24"/>
              </w:rPr>
            </w:pPr>
            <w:r w:rsidRPr="001B322E">
              <w:rPr>
                <w:szCs w:val="24"/>
              </w:rPr>
              <w:t xml:space="preserve">A file </w:t>
            </w:r>
            <w:r w:rsidR="00E03D1D">
              <w:rPr>
                <w:szCs w:val="24"/>
              </w:rPr>
              <w:t xml:space="preserve">will be </w:t>
            </w:r>
            <w:r w:rsidRPr="001B322E">
              <w:rPr>
                <w:szCs w:val="24"/>
              </w:rPr>
              <w:t xml:space="preserve">loaded </w:t>
            </w:r>
            <w:r>
              <w:rPr>
                <w:szCs w:val="24"/>
              </w:rPr>
              <w:t xml:space="preserve">on November </w:t>
            </w:r>
            <w:r w:rsidR="00E03D1D">
              <w:rPr>
                <w:szCs w:val="24"/>
              </w:rPr>
              <w:t>3</w:t>
            </w:r>
            <w:r w:rsidRPr="001B322E">
              <w:rPr>
                <w:szCs w:val="24"/>
              </w:rPr>
              <w:t xml:space="preserve"> which </w:t>
            </w:r>
            <w:r w:rsidR="00E03D1D">
              <w:rPr>
                <w:szCs w:val="24"/>
              </w:rPr>
              <w:t xml:space="preserve">will </w:t>
            </w:r>
            <w:r w:rsidRPr="001B322E">
              <w:rPr>
                <w:szCs w:val="24"/>
              </w:rPr>
              <w:t>automatically update the taxable and non-taxable fields for those CIPPS employees who have been paid in 201</w:t>
            </w:r>
            <w:r w:rsidR="00E03D1D">
              <w:rPr>
                <w:szCs w:val="24"/>
              </w:rPr>
              <w:t>5</w:t>
            </w:r>
            <w:r w:rsidRPr="001B322E">
              <w:rPr>
                <w:szCs w:val="24"/>
              </w:rPr>
              <w:t xml:space="preserve">.  This file </w:t>
            </w:r>
            <w:r w:rsidR="00E03D1D">
              <w:rPr>
                <w:szCs w:val="24"/>
              </w:rPr>
              <w:t xml:space="preserve">will </w:t>
            </w:r>
            <w:r w:rsidRPr="001B322E">
              <w:rPr>
                <w:szCs w:val="24"/>
              </w:rPr>
              <w:t xml:space="preserve">adjust the year-to-date accumulation fields and will not process through a payrun and </w:t>
            </w:r>
            <w:r w:rsidRPr="001B322E">
              <w:rPr>
                <w:b/>
                <w:szCs w:val="24"/>
              </w:rPr>
              <w:t>will not</w:t>
            </w:r>
            <w:r w:rsidRPr="001B322E">
              <w:rPr>
                <w:szCs w:val="24"/>
              </w:rPr>
              <w:t xml:space="preserve"> </w:t>
            </w:r>
            <w:r w:rsidRPr="001B322E">
              <w:rPr>
                <w:b/>
                <w:szCs w:val="24"/>
              </w:rPr>
              <w:t>reflect on a Report 10</w:t>
            </w:r>
            <w:r w:rsidRPr="001B322E">
              <w:rPr>
                <w:szCs w:val="24"/>
              </w:rPr>
              <w:t xml:space="preserve">.  Therefore, any agency maintaining control totals for the purpose of balancing quarterly or calendar year-end totals will need to make manual adjustments.  The amounts can be obtained from the data available on the Report 1006.  </w:t>
            </w:r>
          </w:p>
        </w:tc>
      </w:tr>
    </w:tbl>
    <w:p w:rsidR="00170449" w:rsidRDefault="00170449"/>
    <w:tbl>
      <w:tblPr>
        <w:tblW w:w="10188" w:type="dxa"/>
        <w:tblLayout w:type="fixed"/>
        <w:tblLook w:val="0000"/>
      </w:tblPr>
      <w:tblGrid>
        <w:gridCol w:w="1818"/>
        <w:gridCol w:w="8370"/>
      </w:tblGrid>
      <w:tr w:rsidR="00170449" w:rsidRPr="00DB65DF" w:rsidTr="00170449">
        <w:trPr>
          <w:cantSplit/>
        </w:trPr>
        <w:tc>
          <w:tcPr>
            <w:tcW w:w="1818" w:type="dxa"/>
          </w:tcPr>
          <w:p w:rsidR="00170449" w:rsidRDefault="00E704E4" w:rsidP="00F329A5">
            <w:pPr>
              <w:pStyle w:val="Heading5"/>
            </w:pPr>
            <w:r>
              <w:t>2015</w:t>
            </w:r>
            <w:r w:rsidR="00170449">
              <w:t xml:space="preserve"> </w:t>
            </w:r>
          </w:p>
          <w:p w:rsidR="00170449" w:rsidRPr="00034295" w:rsidRDefault="00170449" w:rsidP="00F329A5">
            <w:pPr>
              <w:pStyle w:val="Heading5"/>
            </w:pPr>
            <w:r>
              <w:t xml:space="preserve">Terminations - Manual </w:t>
            </w:r>
            <w:proofErr w:type="spellStart"/>
            <w:r>
              <w:t>Payset</w:t>
            </w:r>
            <w:proofErr w:type="spellEnd"/>
            <w:r>
              <w:t xml:space="preserve"> Required</w:t>
            </w:r>
          </w:p>
        </w:tc>
        <w:tc>
          <w:tcPr>
            <w:tcW w:w="8370" w:type="dxa"/>
          </w:tcPr>
          <w:p w:rsidR="00170449" w:rsidRPr="001B322E" w:rsidRDefault="00170449" w:rsidP="00F329A5">
            <w:pPr>
              <w:pStyle w:val="BlockText"/>
              <w:rPr>
                <w:szCs w:val="24"/>
              </w:rPr>
            </w:pPr>
            <w:r w:rsidRPr="001B322E">
              <w:rPr>
                <w:szCs w:val="24"/>
              </w:rPr>
              <w:t xml:space="preserve">A manual </w:t>
            </w:r>
            <w:proofErr w:type="spellStart"/>
            <w:r w:rsidRPr="001B322E">
              <w:rPr>
                <w:szCs w:val="24"/>
              </w:rPr>
              <w:t>payset</w:t>
            </w:r>
            <w:proofErr w:type="spellEnd"/>
            <w:r w:rsidRPr="001B322E">
              <w:rPr>
                <w:szCs w:val="24"/>
              </w:rPr>
              <w:t xml:space="preserve"> will be required to invoke the collection of FICA taxes for those employees </w:t>
            </w:r>
            <w:r w:rsidRPr="001B322E">
              <w:rPr>
                <w:b/>
                <w:szCs w:val="24"/>
              </w:rPr>
              <w:t>who have terminated in 201</w:t>
            </w:r>
            <w:r w:rsidR="00E03D1D">
              <w:rPr>
                <w:b/>
                <w:szCs w:val="24"/>
              </w:rPr>
              <w:t>5</w:t>
            </w:r>
            <w:r w:rsidRPr="001B322E">
              <w:rPr>
                <w:b/>
                <w:szCs w:val="24"/>
              </w:rPr>
              <w:t>.</w:t>
            </w:r>
            <w:r w:rsidRPr="001B322E">
              <w:rPr>
                <w:szCs w:val="24"/>
              </w:rPr>
              <w:t xml:space="preserve">  An example of the required transaction on HTQTA is provided on the next page.</w:t>
            </w:r>
          </w:p>
          <w:p w:rsidR="00170449" w:rsidRPr="001B322E" w:rsidRDefault="00170449" w:rsidP="00F329A5">
            <w:pPr>
              <w:pStyle w:val="BlockText"/>
              <w:rPr>
                <w:sz w:val="22"/>
                <w:szCs w:val="22"/>
              </w:rPr>
            </w:pPr>
          </w:p>
          <w:p w:rsidR="00170449" w:rsidRPr="001B322E" w:rsidRDefault="00170449" w:rsidP="00F329A5">
            <w:pPr>
              <w:pStyle w:val="BlockText"/>
              <w:rPr>
                <w:szCs w:val="24"/>
              </w:rPr>
            </w:pPr>
            <w:r w:rsidRPr="001B322E">
              <w:rPr>
                <w:szCs w:val="24"/>
              </w:rPr>
              <w:t>The amount of OASDI (.062) and HI (.0145) tax related to the reclassified income must be calculated.  The combined total should be entered in the NET field with an adjustment indicator of ‘-’and the individual amounts entered for OASDI and HI with an adjustment indicator of ‘+’.</w:t>
            </w:r>
            <w:r>
              <w:rPr>
                <w:szCs w:val="24"/>
              </w:rPr>
              <w:t xml:space="preserve">  </w:t>
            </w:r>
            <w:r w:rsidRPr="001B322E">
              <w:rPr>
                <w:szCs w:val="24"/>
              </w:rPr>
              <w:t xml:space="preserve">The employee must be reactivated in a non-auto time card status and a time and attendance transaction for $.01 must be entered to pull through the manual </w:t>
            </w:r>
            <w:proofErr w:type="spellStart"/>
            <w:r w:rsidRPr="001B322E">
              <w:rPr>
                <w:szCs w:val="24"/>
              </w:rPr>
              <w:t>payset</w:t>
            </w:r>
            <w:proofErr w:type="spellEnd"/>
            <w:r w:rsidRPr="001B322E">
              <w:rPr>
                <w:szCs w:val="24"/>
              </w:rPr>
              <w:t>.</w:t>
            </w:r>
          </w:p>
          <w:p w:rsidR="00170449" w:rsidRPr="001B322E" w:rsidRDefault="00170449" w:rsidP="00F329A5">
            <w:pPr>
              <w:pStyle w:val="BlockText"/>
              <w:rPr>
                <w:sz w:val="22"/>
                <w:szCs w:val="22"/>
              </w:rPr>
            </w:pPr>
          </w:p>
          <w:p w:rsidR="00170449" w:rsidRPr="001B322E" w:rsidRDefault="00170449" w:rsidP="00F329A5">
            <w:pPr>
              <w:pStyle w:val="BlockText"/>
              <w:rPr>
                <w:szCs w:val="24"/>
              </w:rPr>
            </w:pPr>
            <w:r w:rsidRPr="001B322E">
              <w:rPr>
                <w:szCs w:val="24"/>
              </w:rPr>
              <w:t>The Department of Accounts will create a journal entry to charge the line agency for the uncollected employee FICA amounts.</w:t>
            </w:r>
          </w:p>
        </w:tc>
      </w:tr>
    </w:tbl>
    <w:p w:rsidR="00BA32B3" w:rsidRDefault="00BA32B3" w:rsidP="00BA32B3">
      <w:pPr>
        <w:pStyle w:val="BlockLine"/>
        <w:ind w:left="1350"/>
        <w:jc w:val="right"/>
        <w:rPr>
          <w:i/>
          <w:sz w:val="16"/>
          <w:szCs w:val="16"/>
        </w:rPr>
      </w:pPr>
      <w:r>
        <w:rPr>
          <w:i/>
          <w:sz w:val="16"/>
          <w:szCs w:val="16"/>
        </w:rPr>
        <w:t>Continued on next page</w:t>
      </w:r>
    </w:p>
    <w:p w:rsidR="00BA32B3" w:rsidRPr="00BB56CB" w:rsidRDefault="00BA32B3" w:rsidP="00BA32B3">
      <w:pPr>
        <w:pStyle w:val="NormalWeb"/>
        <w:rPr>
          <w:bCs/>
          <w:color w:val="000000"/>
          <w:sz w:val="22"/>
          <w:szCs w:val="22"/>
        </w:rPr>
      </w:pPr>
      <w:proofErr w:type="spellStart"/>
      <w:r w:rsidRPr="00AC4E5F">
        <w:rPr>
          <w:b/>
          <w:bCs/>
          <w:color w:val="000000"/>
          <w:sz w:val="28"/>
          <w:szCs w:val="28"/>
        </w:rPr>
        <w:lastRenderedPageBreak/>
        <w:t>Reclass</w:t>
      </w:r>
      <w:proofErr w:type="spellEnd"/>
      <w:r>
        <w:rPr>
          <w:b/>
          <w:bCs/>
          <w:color w:val="000000"/>
          <w:sz w:val="28"/>
          <w:szCs w:val="28"/>
        </w:rPr>
        <w:t>.</w:t>
      </w:r>
      <w:r w:rsidRPr="00AC4E5F">
        <w:rPr>
          <w:b/>
          <w:bCs/>
          <w:color w:val="000000"/>
          <w:sz w:val="28"/>
          <w:szCs w:val="28"/>
        </w:rPr>
        <w:t xml:space="preserve"> </w:t>
      </w:r>
      <w:proofErr w:type="gramStart"/>
      <w:r w:rsidRPr="00AC4E5F">
        <w:rPr>
          <w:b/>
          <w:bCs/>
          <w:color w:val="000000"/>
          <w:sz w:val="28"/>
          <w:szCs w:val="28"/>
        </w:rPr>
        <w:t>of</w:t>
      </w:r>
      <w:proofErr w:type="gramEnd"/>
      <w:r w:rsidRPr="00AC4E5F">
        <w:rPr>
          <w:b/>
          <w:bCs/>
          <w:color w:val="000000"/>
          <w:sz w:val="28"/>
          <w:szCs w:val="28"/>
        </w:rPr>
        <w:t xml:space="preserve"> Taxable Income for Flexible Reimbursement Card Payments</w:t>
      </w:r>
      <w:r>
        <w:rPr>
          <w:b/>
          <w:bCs/>
          <w:sz w:val="32"/>
          <w:szCs w:val="32"/>
        </w:rPr>
        <w:t xml:space="preserve">, </w:t>
      </w:r>
      <w:r w:rsidRPr="006B1E7E">
        <w:rPr>
          <w:bCs/>
          <w:i/>
        </w:rPr>
        <w:t>continued</w:t>
      </w:r>
    </w:p>
    <w:p w:rsidR="00BA32B3" w:rsidRDefault="00BA32B3" w:rsidP="00BA32B3">
      <w:pPr>
        <w:pStyle w:val="BlockLine"/>
        <w:ind w:left="1350"/>
        <w:rPr>
          <w:sz w:val="16"/>
          <w:szCs w:val="16"/>
        </w:rPr>
      </w:pPr>
    </w:p>
    <w:tbl>
      <w:tblPr>
        <w:tblW w:w="10188" w:type="dxa"/>
        <w:tblLayout w:type="fixed"/>
        <w:tblLook w:val="0000"/>
      </w:tblPr>
      <w:tblGrid>
        <w:gridCol w:w="1818"/>
        <w:gridCol w:w="8370"/>
      </w:tblGrid>
      <w:tr w:rsidR="00BA32B3" w:rsidTr="00FA68FE">
        <w:trPr>
          <w:cantSplit/>
        </w:trPr>
        <w:tc>
          <w:tcPr>
            <w:tcW w:w="1818" w:type="dxa"/>
          </w:tcPr>
          <w:p w:rsidR="00BA32B3" w:rsidRDefault="00BA32B3" w:rsidP="00FA68FE">
            <w:pPr>
              <w:pStyle w:val="Heading5"/>
            </w:pPr>
            <w:r>
              <w:t>201</w:t>
            </w:r>
            <w:r w:rsidR="00E704E4">
              <w:t>5</w:t>
            </w:r>
            <w:r>
              <w:t xml:space="preserve"> </w:t>
            </w:r>
          </w:p>
          <w:p w:rsidR="00BA32B3" w:rsidRPr="00034295" w:rsidRDefault="00BA32B3" w:rsidP="00FA68FE">
            <w:pPr>
              <w:pStyle w:val="Heading5"/>
            </w:pPr>
            <w:r>
              <w:t xml:space="preserve">Terminations - Manual </w:t>
            </w:r>
            <w:proofErr w:type="spellStart"/>
            <w:r>
              <w:t>Payset</w:t>
            </w:r>
            <w:proofErr w:type="spellEnd"/>
            <w:r>
              <w:t xml:space="preserve"> Required</w:t>
            </w:r>
          </w:p>
        </w:tc>
        <w:tc>
          <w:tcPr>
            <w:tcW w:w="8370" w:type="dxa"/>
          </w:tcPr>
          <w:p w:rsidR="00BA32B3" w:rsidRDefault="00BA32B3" w:rsidP="00FA68FE">
            <w:pPr>
              <w:pStyle w:val="BlockText"/>
              <w:rPr>
                <w:szCs w:val="24"/>
              </w:rPr>
            </w:pPr>
            <w:r w:rsidRPr="00A66AB7">
              <w:rPr>
                <w:sz w:val="22"/>
                <w:szCs w:val="22"/>
              </w:rPr>
              <w:t>It is imperative that these transactions are processed in a timely manner in order for the taxes to be remitted to the IRS by the Department of Accounts.  Failure to process these transactions will require payment of the taxes to the IRS via EFTPS.  DOA will process the CARS transaction to create the payment and provide copies to the affected agency</w:t>
            </w:r>
            <w:r>
              <w:rPr>
                <w:szCs w:val="24"/>
              </w:rPr>
              <w:t>.</w:t>
            </w:r>
          </w:p>
          <w:p w:rsidR="00BA32B3" w:rsidRDefault="00BA32B3" w:rsidP="00FA68FE">
            <w:pPr>
              <w:pStyle w:val="BlockText"/>
              <w:rPr>
                <w:szCs w:val="24"/>
              </w:rPr>
            </w:pPr>
          </w:p>
          <w:p w:rsidR="00BA32B3" w:rsidRPr="00DB65DF" w:rsidRDefault="00E67B23" w:rsidP="00FA68FE">
            <w:pPr>
              <w:pStyle w:val="BlockText"/>
              <w:rPr>
                <w:szCs w:val="24"/>
              </w:rPr>
            </w:pPr>
            <w:r>
              <w:rPr>
                <w:noProof/>
              </w:rPr>
              <w:drawing>
                <wp:inline distT="0" distB="0" distL="0" distR="0">
                  <wp:extent cx="5165725" cy="4138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5725" cy="4138930"/>
                          </a:xfrm>
                          <a:prstGeom prst="rect">
                            <a:avLst/>
                          </a:prstGeom>
                          <a:noFill/>
                          <a:ln w="9525">
                            <a:noFill/>
                            <a:miter lim="800000"/>
                            <a:headEnd/>
                            <a:tailEnd/>
                          </a:ln>
                        </pic:spPr>
                      </pic:pic>
                    </a:graphicData>
                  </a:graphic>
                </wp:inline>
              </w:drawing>
            </w:r>
          </w:p>
        </w:tc>
      </w:tr>
    </w:tbl>
    <w:p w:rsidR="00BA32B3" w:rsidRDefault="00BA32B3" w:rsidP="00BA32B3">
      <w:pPr>
        <w:pStyle w:val="BlockLine"/>
        <w:pBdr>
          <w:top w:val="single" w:sz="6" w:space="2" w:color="auto"/>
        </w:pBdr>
        <w:ind w:left="1350"/>
        <w:rPr>
          <w:sz w:val="16"/>
          <w:szCs w:val="16"/>
        </w:rPr>
      </w:pPr>
    </w:p>
    <w:tbl>
      <w:tblPr>
        <w:tblW w:w="10188" w:type="dxa"/>
        <w:tblLayout w:type="fixed"/>
        <w:tblLook w:val="0000"/>
      </w:tblPr>
      <w:tblGrid>
        <w:gridCol w:w="1818"/>
        <w:gridCol w:w="8370"/>
      </w:tblGrid>
      <w:tr w:rsidR="00BA32B3" w:rsidTr="00FA68FE">
        <w:trPr>
          <w:cantSplit/>
        </w:trPr>
        <w:tc>
          <w:tcPr>
            <w:tcW w:w="1818" w:type="dxa"/>
          </w:tcPr>
          <w:p w:rsidR="00BA32B3" w:rsidRPr="00034295" w:rsidRDefault="00BA32B3" w:rsidP="00E704E4">
            <w:pPr>
              <w:pStyle w:val="Heading5"/>
            </w:pPr>
            <w:r>
              <w:t>201</w:t>
            </w:r>
            <w:r w:rsidR="00E704E4">
              <w:t>4</w:t>
            </w:r>
            <w:r>
              <w:t xml:space="preserve"> Terminations</w:t>
            </w:r>
          </w:p>
        </w:tc>
        <w:tc>
          <w:tcPr>
            <w:tcW w:w="8370" w:type="dxa"/>
          </w:tcPr>
          <w:p w:rsidR="00BA32B3" w:rsidRPr="00DB65DF" w:rsidRDefault="00BA32B3" w:rsidP="00E704E4">
            <w:pPr>
              <w:pStyle w:val="BlockText"/>
              <w:rPr>
                <w:szCs w:val="24"/>
              </w:rPr>
            </w:pPr>
            <w:r>
              <w:rPr>
                <w:szCs w:val="24"/>
              </w:rPr>
              <w:t>For those employees who terminated in 201</w:t>
            </w:r>
            <w:r w:rsidR="00E704E4">
              <w:rPr>
                <w:szCs w:val="24"/>
              </w:rPr>
              <w:t>4</w:t>
            </w:r>
            <w:r>
              <w:rPr>
                <w:szCs w:val="24"/>
              </w:rPr>
              <w:t>, the Department of Accounts will process W2Cs and 941Xs.  DOA will process the CARS transaction to create the payment via EFTPS in conjunction with the filing of the 941X and provide copies to the affected agency.</w:t>
            </w:r>
          </w:p>
        </w:tc>
      </w:tr>
    </w:tbl>
    <w:p w:rsidR="00BA32B3" w:rsidRDefault="00BA32B3" w:rsidP="00BA32B3">
      <w:pPr>
        <w:pStyle w:val="BlockLine"/>
        <w:pBdr>
          <w:top w:val="single" w:sz="6" w:space="2" w:color="auto"/>
        </w:pBdr>
        <w:ind w:left="1350"/>
        <w:rPr>
          <w:sz w:val="16"/>
          <w:szCs w:val="16"/>
        </w:rPr>
      </w:pPr>
    </w:p>
    <w:tbl>
      <w:tblPr>
        <w:tblW w:w="10188" w:type="dxa"/>
        <w:tblLayout w:type="fixed"/>
        <w:tblLook w:val="0000"/>
      </w:tblPr>
      <w:tblGrid>
        <w:gridCol w:w="1818"/>
        <w:gridCol w:w="8370"/>
      </w:tblGrid>
      <w:tr w:rsidR="00BA32B3" w:rsidTr="00FA68FE">
        <w:trPr>
          <w:cantSplit/>
        </w:trPr>
        <w:tc>
          <w:tcPr>
            <w:tcW w:w="1818" w:type="dxa"/>
          </w:tcPr>
          <w:p w:rsidR="00BA32B3" w:rsidRPr="00034295" w:rsidRDefault="00BA32B3" w:rsidP="00FA68FE">
            <w:pPr>
              <w:pStyle w:val="Heading5"/>
            </w:pPr>
            <w:r>
              <w:t>Active Employees</w:t>
            </w:r>
          </w:p>
        </w:tc>
        <w:tc>
          <w:tcPr>
            <w:tcW w:w="8370" w:type="dxa"/>
          </w:tcPr>
          <w:p w:rsidR="00BA32B3" w:rsidRPr="00DB65DF" w:rsidRDefault="00BA32B3" w:rsidP="00E704E4">
            <w:pPr>
              <w:pStyle w:val="BlockText"/>
              <w:rPr>
                <w:szCs w:val="24"/>
              </w:rPr>
            </w:pPr>
            <w:r>
              <w:rPr>
                <w:szCs w:val="24"/>
              </w:rPr>
              <w:t>No action is required for active employees as FICA will self-adjust when the employee is</w:t>
            </w:r>
            <w:r w:rsidR="00245357">
              <w:rPr>
                <w:szCs w:val="24"/>
              </w:rPr>
              <w:t xml:space="preserve"> next paid in 201</w:t>
            </w:r>
            <w:r w:rsidR="00E704E4">
              <w:rPr>
                <w:szCs w:val="24"/>
              </w:rPr>
              <w:t>5</w:t>
            </w:r>
            <w:r>
              <w:rPr>
                <w:szCs w:val="24"/>
              </w:rPr>
              <w:t xml:space="preserve">.  However, if you have an active employee who will not be receiving any payments in </w:t>
            </w:r>
            <w:r w:rsidR="00245357">
              <w:rPr>
                <w:szCs w:val="24"/>
              </w:rPr>
              <w:t>201</w:t>
            </w:r>
            <w:r w:rsidR="00E704E4">
              <w:rPr>
                <w:szCs w:val="24"/>
              </w:rPr>
              <w:t>5</w:t>
            </w:r>
            <w:r>
              <w:rPr>
                <w:szCs w:val="24"/>
              </w:rPr>
              <w:t>, please follow the instructions provided for employees who have terminated during 201</w:t>
            </w:r>
            <w:r w:rsidR="00E704E4">
              <w:rPr>
                <w:szCs w:val="24"/>
              </w:rPr>
              <w:t>5</w:t>
            </w:r>
            <w:r>
              <w:rPr>
                <w:szCs w:val="24"/>
              </w:rPr>
              <w:t>.</w:t>
            </w:r>
          </w:p>
        </w:tc>
      </w:tr>
    </w:tbl>
    <w:p w:rsidR="00BA32B3" w:rsidRDefault="00BA32B3" w:rsidP="00E21BC9">
      <w:pPr>
        <w:pStyle w:val="BlockLine"/>
        <w:pBdr>
          <w:top w:val="single" w:sz="6" w:space="2" w:color="auto"/>
        </w:pBdr>
        <w:ind w:left="1350"/>
        <w:rPr>
          <w:sz w:val="16"/>
          <w:szCs w:val="16"/>
        </w:rPr>
      </w:pPr>
    </w:p>
    <w:p w:rsidR="00A503EC" w:rsidRPr="00BB56CB" w:rsidRDefault="008C3502" w:rsidP="00A503EC">
      <w:pPr>
        <w:pStyle w:val="NormalWeb"/>
        <w:rPr>
          <w:bCs/>
          <w:color w:val="000000"/>
          <w:sz w:val="22"/>
          <w:szCs w:val="22"/>
        </w:rPr>
      </w:pPr>
      <w:r>
        <w:rPr>
          <w:b/>
          <w:bCs/>
          <w:color w:val="000000"/>
          <w:sz w:val="28"/>
          <w:szCs w:val="28"/>
        </w:rPr>
        <w:br w:type="page"/>
      </w:r>
      <w:r w:rsidR="00A503EC">
        <w:rPr>
          <w:b/>
          <w:bCs/>
          <w:color w:val="000000"/>
          <w:sz w:val="28"/>
          <w:szCs w:val="28"/>
        </w:rPr>
        <w:lastRenderedPageBreak/>
        <w:t>Name and Address Format Requirements</w:t>
      </w:r>
    </w:p>
    <w:p w:rsidR="00A503EC" w:rsidRDefault="00A503EC" w:rsidP="00A503EC">
      <w:pPr>
        <w:pStyle w:val="BlockLine"/>
        <w:ind w:left="1350"/>
        <w:rPr>
          <w:sz w:val="16"/>
          <w:szCs w:val="16"/>
        </w:rPr>
      </w:pPr>
    </w:p>
    <w:tbl>
      <w:tblPr>
        <w:tblW w:w="9843" w:type="dxa"/>
        <w:tblCellMar>
          <w:left w:w="0" w:type="dxa"/>
          <w:right w:w="0" w:type="dxa"/>
        </w:tblCellMar>
        <w:tblLook w:val="04A0"/>
      </w:tblPr>
      <w:tblGrid>
        <w:gridCol w:w="1656"/>
        <w:gridCol w:w="8187"/>
      </w:tblGrid>
      <w:tr w:rsidR="00A503EC" w:rsidTr="008C3502">
        <w:trPr>
          <w:cantSplit/>
        </w:trPr>
        <w:tc>
          <w:tcPr>
            <w:tcW w:w="1656" w:type="dxa"/>
            <w:tcMar>
              <w:top w:w="0" w:type="dxa"/>
              <w:left w:w="108" w:type="dxa"/>
              <w:bottom w:w="0" w:type="dxa"/>
              <w:right w:w="108" w:type="dxa"/>
            </w:tcMar>
            <w:hideMark/>
          </w:tcPr>
          <w:p w:rsidR="00A503EC" w:rsidRPr="00042CF3" w:rsidRDefault="00A503EC" w:rsidP="008921FC">
            <w:pPr>
              <w:pStyle w:val="Heading5"/>
              <w:rPr>
                <w:bCs/>
                <w:sz w:val="24"/>
                <w:szCs w:val="24"/>
              </w:rPr>
            </w:pPr>
            <w:r w:rsidRPr="00042CF3">
              <w:rPr>
                <w:bCs/>
                <w:sz w:val="24"/>
                <w:szCs w:val="24"/>
              </w:rPr>
              <w:t xml:space="preserve">Name </w:t>
            </w:r>
            <w:r w:rsidR="008921FC">
              <w:rPr>
                <w:bCs/>
                <w:sz w:val="24"/>
                <w:szCs w:val="24"/>
              </w:rPr>
              <w:t xml:space="preserve">(e.g. suffix) </w:t>
            </w:r>
            <w:r w:rsidRPr="00042CF3">
              <w:rPr>
                <w:bCs/>
                <w:sz w:val="24"/>
                <w:szCs w:val="24"/>
              </w:rPr>
              <w:t>and Address Format Requirements</w:t>
            </w:r>
            <w:r w:rsidR="008921FC">
              <w:rPr>
                <w:bCs/>
                <w:sz w:val="24"/>
                <w:szCs w:val="24"/>
              </w:rPr>
              <w:t xml:space="preserve"> </w:t>
            </w:r>
          </w:p>
        </w:tc>
        <w:tc>
          <w:tcPr>
            <w:tcW w:w="8187" w:type="dxa"/>
            <w:tcMar>
              <w:top w:w="0" w:type="dxa"/>
              <w:left w:w="108" w:type="dxa"/>
              <w:bottom w:w="0" w:type="dxa"/>
              <w:right w:w="108" w:type="dxa"/>
            </w:tcMar>
          </w:tcPr>
          <w:p w:rsidR="00A503EC" w:rsidRPr="00042CF3" w:rsidRDefault="00A503EC">
            <w:pPr>
              <w:pStyle w:val="BlockText"/>
              <w:ind w:left="162"/>
              <w:rPr>
                <w:rFonts w:eastAsia="Calibri"/>
                <w:szCs w:val="24"/>
              </w:rPr>
            </w:pPr>
            <w:r w:rsidRPr="00042CF3">
              <w:rPr>
                <w:szCs w:val="24"/>
              </w:rPr>
              <w:t>Keep the following requirements in mind when entering employee name and address information on the H0BID screen in CIPPS:</w:t>
            </w:r>
          </w:p>
          <w:p w:rsidR="00A503EC" w:rsidRPr="00042CF3" w:rsidRDefault="00A503EC">
            <w:pPr>
              <w:pStyle w:val="BlockText"/>
              <w:ind w:left="162"/>
              <w:rPr>
                <w:szCs w:val="24"/>
              </w:rPr>
            </w:pPr>
          </w:p>
          <w:p w:rsidR="00A503EC" w:rsidRPr="00042CF3" w:rsidRDefault="00A503EC" w:rsidP="00A503EC">
            <w:pPr>
              <w:pStyle w:val="BlockText"/>
              <w:numPr>
                <w:ilvl w:val="0"/>
                <w:numId w:val="4"/>
              </w:numPr>
              <w:rPr>
                <w:szCs w:val="24"/>
              </w:rPr>
            </w:pPr>
            <w:r w:rsidRPr="00042CF3">
              <w:rPr>
                <w:szCs w:val="24"/>
              </w:rPr>
              <w:t>Name must match exactly what is on social security card.</w:t>
            </w:r>
          </w:p>
          <w:p w:rsidR="00A503EC" w:rsidRPr="00042CF3" w:rsidRDefault="00A503EC" w:rsidP="00A503EC">
            <w:pPr>
              <w:pStyle w:val="BlockText"/>
              <w:numPr>
                <w:ilvl w:val="0"/>
                <w:numId w:val="4"/>
              </w:numPr>
              <w:rPr>
                <w:szCs w:val="24"/>
              </w:rPr>
            </w:pPr>
            <w:r w:rsidRPr="00042CF3">
              <w:rPr>
                <w:szCs w:val="24"/>
              </w:rPr>
              <w:t>Name fields can only contain letters, numbers (0-9), spaces, hyphens, periods, and/or apostrophes.  Do not use accent marks.</w:t>
            </w:r>
          </w:p>
          <w:p w:rsidR="00A503EC" w:rsidRPr="00042CF3" w:rsidRDefault="00A503EC" w:rsidP="00A503EC">
            <w:pPr>
              <w:pStyle w:val="BlockText"/>
              <w:numPr>
                <w:ilvl w:val="0"/>
                <w:numId w:val="4"/>
              </w:numPr>
              <w:rPr>
                <w:szCs w:val="24"/>
              </w:rPr>
            </w:pPr>
            <w:r w:rsidRPr="00042CF3">
              <w:rPr>
                <w:szCs w:val="24"/>
              </w:rPr>
              <w:t xml:space="preserve">Suffixes must be in this format:  last name,(space)suffix; for example, </w:t>
            </w:r>
            <w:r w:rsidR="00E704E4">
              <w:rPr>
                <w:szCs w:val="24"/>
              </w:rPr>
              <w:t xml:space="preserve"> </w:t>
            </w:r>
            <w:r w:rsidRPr="00042CF3">
              <w:rPr>
                <w:szCs w:val="24"/>
              </w:rPr>
              <w:t>Smith, Jr</w:t>
            </w:r>
          </w:p>
          <w:p w:rsidR="00A503EC" w:rsidRPr="00042CF3" w:rsidRDefault="00A503EC">
            <w:pPr>
              <w:pStyle w:val="BlockText"/>
              <w:ind w:left="522"/>
              <w:rPr>
                <w:szCs w:val="24"/>
              </w:rPr>
            </w:pPr>
            <w:r w:rsidRPr="00042CF3">
              <w:rPr>
                <w:szCs w:val="24"/>
              </w:rPr>
              <w:t>Do not use periods after the suffix or extra spaces between the last name and suffix.</w:t>
            </w:r>
          </w:p>
          <w:p w:rsidR="00A503EC" w:rsidRPr="00042CF3" w:rsidRDefault="00A503EC" w:rsidP="00A503EC">
            <w:pPr>
              <w:pStyle w:val="BlockText"/>
              <w:numPr>
                <w:ilvl w:val="0"/>
                <w:numId w:val="4"/>
              </w:numPr>
              <w:rPr>
                <w:szCs w:val="24"/>
              </w:rPr>
            </w:pPr>
            <w:r w:rsidRPr="00042CF3">
              <w:rPr>
                <w:szCs w:val="24"/>
              </w:rPr>
              <w:t>All names, addresses, city, state and zip code entries must begin in the first position of the field.  Do not leave any blank spaces at the beginning.</w:t>
            </w:r>
          </w:p>
          <w:p w:rsidR="00A503EC" w:rsidRPr="00042CF3" w:rsidRDefault="00A503EC" w:rsidP="00A503EC">
            <w:pPr>
              <w:pStyle w:val="BlockText"/>
              <w:numPr>
                <w:ilvl w:val="0"/>
                <w:numId w:val="4"/>
              </w:numPr>
              <w:rPr>
                <w:szCs w:val="24"/>
              </w:rPr>
            </w:pPr>
            <w:r w:rsidRPr="00042CF3">
              <w:rPr>
                <w:szCs w:val="24"/>
              </w:rPr>
              <w:t>You must use a space or dash between the zip code and the extension; zip codes are five digits and extensions are four digits.  For example, 22032-1712 or 22032 1712</w:t>
            </w:r>
          </w:p>
          <w:p w:rsidR="00A503EC" w:rsidRPr="00042CF3" w:rsidRDefault="00A503EC" w:rsidP="00A503EC">
            <w:pPr>
              <w:pStyle w:val="BlockText"/>
              <w:numPr>
                <w:ilvl w:val="0"/>
                <w:numId w:val="4"/>
              </w:numPr>
              <w:rPr>
                <w:szCs w:val="24"/>
              </w:rPr>
            </w:pPr>
            <w:r w:rsidRPr="00042CF3">
              <w:rPr>
                <w:szCs w:val="24"/>
              </w:rPr>
              <w:t>Do not use periods in state abbreviations; for example, NC not N.C.</w:t>
            </w:r>
          </w:p>
          <w:p w:rsidR="00A503EC" w:rsidRPr="00042CF3" w:rsidRDefault="00A503EC" w:rsidP="00A503EC">
            <w:pPr>
              <w:pStyle w:val="BlockText"/>
              <w:numPr>
                <w:ilvl w:val="0"/>
                <w:numId w:val="4"/>
              </w:numPr>
              <w:rPr>
                <w:szCs w:val="24"/>
              </w:rPr>
            </w:pPr>
            <w:r w:rsidRPr="00042CF3">
              <w:rPr>
                <w:szCs w:val="24"/>
              </w:rPr>
              <w:t>State abbreviations must be in the state field, not in the city field or zip code field.  Do not use commas after the city name.</w:t>
            </w:r>
          </w:p>
          <w:p w:rsidR="00A503EC" w:rsidRPr="00042CF3" w:rsidRDefault="00A503EC" w:rsidP="00A503EC">
            <w:pPr>
              <w:pStyle w:val="BlockText"/>
              <w:numPr>
                <w:ilvl w:val="0"/>
                <w:numId w:val="4"/>
              </w:numPr>
              <w:rPr>
                <w:szCs w:val="24"/>
              </w:rPr>
            </w:pPr>
            <w:r w:rsidRPr="00042CF3">
              <w:rPr>
                <w:szCs w:val="24"/>
              </w:rPr>
              <w:t>You must use alpha characters (letters) in the state abbreviations on the address line; for example, OH not 0H (zero-H is not Ohio)</w:t>
            </w:r>
          </w:p>
          <w:p w:rsidR="00A503EC" w:rsidRPr="00042CF3" w:rsidRDefault="00A503EC" w:rsidP="00A503EC">
            <w:pPr>
              <w:pStyle w:val="BlockText"/>
              <w:numPr>
                <w:ilvl w:val="0"/>
                <w:numId w:val="4"/>
              </w:numPr>
              <w:rPr>
                <w:szCs w:val="24"/>
              </w:rPr>
            </w:pPr>
            <w:r w:rsidRPr="00042CF3">
              <w:rPr>
                <w:szCs w:val="24"/>
              </w:rPr>
              <w:t>You must use the official USPO two-position abbreviation for the state name; do not spell out the state name or try to extend it beyond two characters.</w:t>
            </w:r>
          </w:p>
        </w:tc>
      </w:tr>
    </w:tbl>
    <w:p w:rsidR="009B5C46" w:rsidRDefault="009B5C46" w:rsidP="009B5C46">
      <w:pPr>
        <w:pStyle w:val="BlockLine"/>
        <w:pBdr>
          <w:top w:val="single" w:sz="6" w:space="2" w:color="auto"/>
        </w:pBdr>
        <w:ind w:left="1350"/>
        <w:rPr>
          <w:sz w:val="16"/>
          <w:szCs w:val="16"/>
        </w:rPr>
      </w:pPr>
    </w:p>
    <w:sectPr w:rsidR="009B5C46" w:rsidSect="00EB46C9">
      <w:headerReference w:type="even" r:id="rId10"/>
      <w:headerReference w:type="default" r:id="rId11"/>
      <w:footerReference w:type="even" r:id="rId12"/>
      <w:footerReference w:type="default" r:id="rId13"/>
      <w:headerReference w:type="first" r:id="rId14"/>
      <w:footerReference w:type="first" r:id="rId15"/>
      <w:pgSz w:w="12240" w:h="15840" w:code="1"/>
      <w:pgMar w:top="994" w:right="720" w:bottom="540" w:left="720" w:header="432" w:footer="8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C5" w:rsidRDefault="006451C5" w:rsidP="007C617C">
      <w:pPr>
        <w:pStyle w:val="TableText"/>
      </w:pPr>
      <w:r>
        <w:separator/>
      </w:r>
    </w:p>
  </w:endnote>
  <w:endnote w:type="continuationSeparator" w:id="0">
    <w:p w:rsidR="006451C5" w:rsidRDefault="006451C5" w:rsidP="007C617C">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63" w:rsidRDefault="00EB6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1D" w:rsidRPr="00F15BA4" w:rsidRDefault="00E03D1D">
    <w:pPr>
      <w:pStyle w:val="Footer"/>
      <w:rPr>
        <w:sz w:val="20"/>
      </w:rPr>
    </w:pPr>
    <w:r>
      <w:rPr>
        <w:sz w:val="20"/>
      </w:rPr>
      <w:t>Revised: 11/16/12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63" w:rsidRDefault="00EB6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C5" w:rsidRDefault="006451C5" w:rsidP="007C617C">
      <w:pPr>
        <w:pStyle w:val="TableText"/>
      </w:pPr>
      <w:r>
        <w:separator/>
      </w:r>
    </w:p>
  </w:footnote>
  <w:footnote w:type="continuationSeparator" w:id="0">
    <w:p w:rsidR="006451C5" w:rsidRDefault="006451C5" w:rsidP="007C617C">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63" w:rsidRDefault="00EB6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3258"/>
      <w:gridCol w:w="3366"/>
      <w:gridCol w:w="4176"/>
    </w:tblGrid>
    <w:tr w:rsidR="00E03D1D" w:rsidTr="00F329A5">
      <w:trPr>
        <w:cantSplit/>
      </w:trPr>
      <w:tc>
        <w:tcPr>
          <w:tcW w:w="3258" w:type="dxa"/>
          <w:tcBorders>
            <w:bottom w:val="double" w:sz="6" w:space="0" w:color="auto"/>
          </w:tcBorders>
        </w:tcPr>
        <w:p w:rsidR="00E03D1D" w:rsidRDefault="00E03D1D" w:rsidP="00E704E4">
          <w:pPr>
            <w:pStyle w:val="Header"/>
            <w:rPr>
              <w:b/>
              <w:sz w:val="20"/>
            </w:rPr>
          </w:pPr>
          <w:r>
            <w:rPr>
              <w:b/>
              <w:sz w:val="20"/>
            </w:rPr>
            <w:t>Calendar Year 201</w:t>
          </w:r>
          <w:r w:rsidR="00E704E4">
            <w:rPr>
              <w:b/>
              <w:sz w:val="20"/>
            </w:rPr>
            <w:t>5</w:t>
          </w:r>
        </w:p>
      </w:tc>
      <w:tc>
        <w:tcPr>
          <w:tcW w:w="3366" w:type="dxa"/>
          <w:tcBorders>
            <w:bottom w:val="double" w:sz="6" w:space="0" w:color="auto"/>
          </w:tcBorders>
        </w:tcPr>
        <w:p w:rsidR="00E03D1D" w:rsidRDefault="00E704E4" w:rsidP="00F329A5">
          <w:pPr>
            <w:pStyle w:val="Header"/>
            <w:jc w:val="center"/>
            <w:rPr>
              <w:b/>
              <w:sz w:val="20"/>
            </w:rPr>
          </w:pPr>
          <w:r>
            <w:rPr>
              <w:b/>
              <w:sz w:val="20"/>
            </w:rPr>
            <w:t>November 2</w:t>
          </w:r>
          <w:r w:rsidR="00EB6D63">
            <w:rPr>
              <w:b/>
              <w:sz w:val="20"/>
            </w:rPr>
            <w:t xml:space="preserve">, </w:t>
          </w:r>
          <w:r w:rsidR="00EB6D63">
            <w:rPr>
              <w:b/>
              <w:sz w:val="20"/>
            </w:rPr>
            <w:t>2015</w:t>
          </w:r>
        </w:p>
      </w:tc>
      <w:tc>
        <w:tcPr>
          <w:tcW w:w="4176" w:type="dxa"/>
          <w:tcBorders>
            <w:bottom w:val="double" w:sz="6" w:space="0" w:color="auto"/>
          </w:tcBorders>
        </w:tcPr>
        <w:p w:rsidR="00E03D1D" w:rsidRDefault="00E03D1D" w:rsidP="00E704E4">
          <w:pPr>
            <w:pStyle w:val="Header"/>
            <w:jc w:val="right"/>
            <w:rPr>
              <w:b/>
              <w:sz w:val="20"/>
            </w:rPr>
          </w:pPr>
          <w:r>
            <w:rPr>
              <w:b/>
              <w:sz w:val="20"/>
            </w:rPr>
            <w:t>Volume 201</w:t>
          </w:r>
          <w:r w:rsidR="00E704E4">
            <w:rPr>
              <w:b/>
              <w:sz w:val="20"/>
            </w:rPr>
            <w:t>5-12</w:t>
          </w:r>
        </w:p>
      </w:tc>
    </w:tr>
  </w:tbl>
  <w:p w:rsidR="00E03D1D" w:rsidRDefault="00E03D1D" w:rsidP="007554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63" w:rsidRDefault="00EB6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en-US" w:vendorID="64" w:dllVersion="131078" w:nlCheck="1"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A69"/>
    <w:rsid w:val="00034ABB"/>
    <w:rsid w:val="00042CF3"/>
    <w:rsid w:val="00043092"/>
    <w:rsid w:val="00043C21"/>
    <w:rsid w:val="00046661"/>
    <w:rsid w:val="0005668B"/>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D6B"/>
    <w:rsid w:val="0022044F"/>
    <w:rsid w:val="00221021"/>
    <w:rsid w:val="002215EE"/>
    <w:rsid w:val="002225D4"/>
    <w:rsid w:val="0022353A"/>
    <w:rsid w:val="00224527"/>
    <w:rsid w:val="002276C7"/>
    <w:rsid w:val="00230A49"/>
    <w:rsid w:val="00233935"/>
    <w:rsid w:val="0024126B"/>
    <w:rsid w:val="002412F8"/>
    <w:rsid w:val="0024180D"/>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2F2D"/>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F02B0"/>
    <w:rsid w:val="002F0E27"/>
    <w:rsid w:val="002F2757"/>
    <w:rsid w:val="002F6F61"/>
    <w:rsid w:val="00302013"/>
    <w:rsid w:val="00303AB2"/>
    <w:rsid w:val="00304474"/>
    <w:rsid w:val="0030540F"/>
    <w:rsid w:val="00305EC4"/>
    <w:rsid w:val="00311FC4"/>
    <w:rsid w:val="003164E9"/>
    <w:rsid w:val="003167D0"/>
    <w:rsid w:val="003202A7"/>
    <w:rsid w:val="003208FE"/>
    <w:rsid w:val="0032216D"/>
    <w:rsid w:val="00323E81"/>
    <w:rsid w:val="003306BE"/>
    <w:rsid w:val="0033082C"/>
    <w:rsid w:val="003340ED"/>
    <w:rsid w:val="00334F86"/>
    <w:rsid w:val="003362EF"/>
    <w:rsid w:val="00336C30"/>
    <w:rsid w:val="00341F6F"/>
    <w:rsid w:val="00342463"/>
    <w:rsid w:val="0034691C"/>
    <w:rsid w:val="0035312D"/>
    <w:rsid w:val="00353733"/>
    <w:rsid w:val="00353940"/>
    <w:rsid w:val="00354876"/>
    <w:rsid w:val="00357860"/>
    <w:rsid w:val="0036539D"/>
    <w:rsid w:val="00365D95"/>
    <w:rsid w:val="00366A23"/>
    <w:rsid w:val="00367AD1"/>
    <w:rsid w:val="00370336"/>
    <w:rsid w:val="00372196"/>
    <w:rsid w:val="00375835"/>
    <w:rsid w:val="00380089"/>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7169"/>
    <w:rsid w:val="00463F34"/>
    <w:rsid w:val="0046402E"/>
    <w:rsid w:val="00466FB2"/>
    <w:rsid w:val="00470A8B"/>
    <w:rsid w:val="00472253"/>
    <w:rsid w:val="00480977"/>
    <w:rsid w:val="0048151B"/>
    <w:rsid w:val="00481C94"/>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612E"/>
    <w:rsid w:val="004D6951"/>
    <w:rsid w:val="004E2C96"/>
    <w:rsid w:val="004E4FEE"/>
    <w:rsid w:val="004E5D33"/>
    <w:rsid w:val="004E5DF0"/>
    <w:rsid w:val="004E5E88"/>
    <w:rsid w:val="004E5FDF"/>
    <w:rsid w:val="004F0178"/>
    <w:rsid w:val="004F36B7"/>
    <w:rsid w:val="004F42C7"/>
    <w:rsid w:val="004F5F78"/>
    <w:rsid w:val="00500BF8"/>
    <w:rsid w:val="00505570"/>
    <w:rsid w:val="00506503"/>
    <w:rsid w:val="00512FE1"/>
    <w:rsid w:val="005142FF"/>
    <w:rsid w:val="00517AEE"/>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B6D"/>
    <w:rsid w:val="00583C5C"/>
    <w:rsid w:val="005926A0"/>
    <w:rsid w:val="00592926"/>
    <w:rsid w:val="0059592A"/>
    <w:rsid w:val="0059785E"/>
    <w:rsid w:val="005A53B4"/>
    <w:rsid w:val="005A5737"/>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F09"/>
    <w:rsid w:val="00605F55"/>
    <w:rsid w:val="006060E3"/>
    <w:rsid w:val="00606AA5"/>
    <w:rsid w:val="006070FB"/>
    <w:rsid w:val="00607472"/>
    <w:rsid w:val="00607A94"/>
    <w:rsid w:val="00622B95"/>
    <w:rsid w:val="0062309A"/>
    <w:rsid w:val="00623308"/>
    <w:rsid w:val="00627406"/>
    <w:rsid w:val="00633F5D"/>
    <w:rsid w:val="00636EB9"/>
    <w:rsid w:val="00640742"/>
    <w:rsid w:val="00641D8C"/>
    <w:rsid w:val="006439F4"/>
    <w:rsid w:val="006451C5"/>
    <w:rsid w:val="00646360"/>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6FED"/>
    <w:rsid w:val="006D03EF"/>
    <w:rsid w:val="006D189B"/>
    <w:rsid w:val="006D5EB7"/>
    <w:rsid w:val="006D7FB5"/>
    <w:rsid w:val="006E0CC5"/>
    <w:rsid w:val="006E2261"/>
    <w:rsid w:val="006E3051"/>
    <w:rsid w:val="006E31CE"/>
    <w:rsid w:val="006E39E2"/>
    <w:rsid w:val="006E4573"/>
    <w:rsid w:val="006E6056"/>
    <w:rsid w:val="006E607C"/>
    <w:rsid w:val="006F1E29"/>
    <w:rsid w:val="00702956"/>
    <w:rsid w:val="007059AE"/>
    <w:rsid w:val="0070639D"/>
    <w:rsid w:val="00707363"/>
    <w:rsid w:val="00707445"/>
    <w:rsid w:val="00711332"/>
    <w:rsid w:val="00712686"/>
    <w:rsid w:val="00712A9A"/>
    <w:rsid w:val="00715AF0"/>
    <w:rsid w:val="00717BAD"/>
    <w:rsid w:val="00717C4F"/>
    <w:rsid w:val="0072052B"/>
    <w:rsid w:val="00724707"/>
    <w:rsid w:val="00727ECC"/>
    <w:rsid w:val="00727FE5"/>
    <w:rsid w:val="00730C32"/>
    <w:rsid w:val="007318F5"/>
    <w:rsid w:val="00731B7C"/>
    <w:rsid w:val="00734EA1"/>
    <w:rsid w:val="00735FB7"/>
    <w:rsid w:val="00741CCB"/>
    <w:rsid w:val="00742F44"/>
    <w:rsid w:val="0074507F"/>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59FE"/>
    <w:rsid w:val="007C617C"/>
    <w:rsid w:val="007D2928"/>
    <w:rsid w:val="007D3A96"/>
    <w:rsid w:val="007D4CFA"/>
    <w:rsid w:val="007D7651"/>
    <w:rsid w:val="007D7B42"/>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6153"/>
    <w:rsid w:val="00816FA7"/>
    <w:rsid w:val="008171AE"/>
    <w:rsid w:val="00817D0C"/>
    <w:rsid w:val="0082456A"/>
    <w:rsid w:val="008261C2"/>
    <w:rsid w:val="00826CA5"/>
    <w:rsid w:val="0083216F"/>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77E1"/>
    <w:rsid w:val="00887519"/>
    <w:rsid w:val="00890F2E"/>
    <w:rsid w:val="008921FC"/>
    <w:rsid w:val="008927EB"/>
    <w:rsid w:val="00895682"/>
    <w:rsid w:val="00895CC1"/>
    <w:rsid w:val="008A10CF"/>
    <w:rsid w:val="008A189F"/>
    <w:rsid w:val="008A2211"/>
    <w:rsid w:val="008A4211"/>
    <w:rsid w:val="008A4B56"/>
    <w:rsid w:val="008A6934"/>
    <w:rsid w:val="008B14BA"/>
    <w:rsid w:val="008B569E"/>
    <w:rsid w:val="008C1349"/>
    <w:rsid w:val="008C245B"/>
    <w:rsid w:val="008C32F7"/>
    <w:rsid w:val="008C3502"/>
    <w:rsid w:val="008C5F72"/>
    <w:rsid w:val="008C63E5"/>
    <w:rsid w:val="008C75E2"/>
    <w:rsid w:val="008D07C3"/>
    <w:rsid w:val="008D1C74"/>
    <w:rsid w:val="008D57D8"/>
    <w:rsid w:val="008E2626"/>
    <w:rsid w:val="008E50A9"/>
    <w:rsid w:val="008E746E"/>
    <w:rsid w:val="008F3AF2"/>
    <w:rsid w:val="008F3BD5"/>
    <w:rsid w:val="008F47C8"/>
    <w:rsid w:val="008F62A3"/>
    <w:rsid w:val="008F6825"/>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C46"/>
    <w:rsid w:val="009B615D"/>
    <w:rsid w:val="009B7F8F"/>
    <w:rsid w:val="009C26A2"/>
    <w:rsid w:val="009C511D"/>
    <w:rsid w:val="009D2A50"/>
    <w:rsid w:val="009D3E0E"/>
    <w:rsid w:val="009E2E63"/>
    <w:rsid w:val="009E52F9"/>
    <w:rsid w:val="009F20BC"/>
    <w:rsid w:val="00A11762"/>
    <w:rsid w:val="00A2291F"/>
    <w:rsid w:val="00A233AB"/>
    <w:rsid w:val="00A257D7"/>
    <w:rsid w:val="00A30329"/>
    <w:rsid w:val="00A30356"/>
    <w:rsid w:val="00A36793"/>
    <w:rsid w:val="00A37D19"/>
    <w:rsid w:val="00A40BC9"/>
    <w:rsid w:val="00A410D5"/>
    <w:rsid w:val="00A41878"/>
    <w:rsid w:val="00A42936"/>
    <w:rsid w:val="00A45FFF"/>
    <w:rsid w:val="00A473AE"/>
    <w:rsid w:val="00A503EC"/>
    <w:rsid w:val="00A50E93"/>
    <w:rsid w:val="00A50F05"/>
    <w:rsid w:val="00A538E0"/>
    <w:rsid w:val="00A61C23"/>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75AC"/>
    <w:rsid w:val="00AD2D12"/>
    <w:rsid w:val="00AD57C5"/>
    <w:rsid w:val="00AD76F9"/>
    <w:rsid w:val="00AE69F4"/>
    <w:rsid w:val="00AF4B73"/>
    <w:rsid w:val="00AF580B"/>
    <w:rsid w:val="00B010B5"/>
    <w:rsid w:val="00B02B91"/>
    <w:rsid w:val="00B1568E"/>
    <w:rsid w:val="00B258F0"/>
    <w:rsid w:val="00B30BF1"/>
    <w:rsid w:val="00B30F94"/>
    <w:rsid w:val="00B31359"/>
    <w:rsid w:val="00B355C9"/>
    <w:rsid w:val="00B37DA8"/>
    <w:rsid w:val="00B40EBE"/>
    <w:rsid w:val="00B41B58"/>
    <w:rsid w:val="00B429F3"/>
    <w:rsid w:val="00B441DE"/>
    <w:rsid w:val="00B44EEF"/>
    <w:rsid w:val="00B45D4C"/>
    <w:rsid w:val="00B50366"/>
    <w:rsid w:val="00B53102"/>
    <w:rsid w:val="00B57FD1"/>
    <w:rsid w:val="00B616B0"/>
    <w:rsid w:val="00B6314A"/>
    <w:rsid w:val="00B71E6F"/>
    <w:rsid w:val="00B71FF4"/>
    <w:rsid w:val="00B73FF0"/>
    <w:rsid w:val="00B74AA4"/>
    <w:rsid w:val="00B752FA"/>
    <w:rsid w:val="00B83B7A"/>
    <w:rsid w:val="00B85C31"/>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E4539"/>
    <w:rsid w:val="00BE658C"/>
    <w:rsid w:val="00BE70FF"/>
    <w:rsid w:val="00BE7A31"/>
    <w:rsid w:val="00BF1880"/>
    <w:rsid w:val="00BF5C9E"/>
    <w:rsid w:val="00BF6376"/>
    <w:rsid w:val="00BF764F"/>
    <w:rsid w:val="00C00364"/>
    <w:rsid w:val="00C01D2F"/>
    <w:rsid w:val="00C02540"/>
    <w:rsid w:val="00C0640D"/>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5711"/>
    <w:rsid w:val="00CA7469"/>
    <w:rsid w:val="00CB00E9"/>
    <w:rsid w:val="00CB4D8E"/>
    <w:rsid w:val="00CB547E"/>
    <w:rsid w:val="00CC01FD"/>
    <w:rsid w:val="00CD2B63"/>
    <w:rsid w:val="00CD517B"/>
    <w:rsid w:val="00CE0296"/>
    <w:rsid w:val="00CE4F24"/>
    <w:rsid w:val="00CE61F2"/>
    <w:rsid w:val="00CF0C6F"/>
    <w:rsid w:val="00CF0FC6"/>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263F"/>
    <w:rsid w:val="00D92812"/>
    <w:rsid w:val="00D9369E"/>
    <w:rsid w:val="00D96D56"/>
    <w:rsid w:val="00DA250B"/>
    <w:rsid w:val="00DA40E2"/>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03D1D"/>
    <w:rsid w:val="00E12915"/>
    <w:rsid w:val="00E1485E"/>
    <w:rsid w:val="00E21BC9"/>
    <w:rsid w:val="00E23E2B"/>
    <w:rsid w:val="00E247CD"/>
    <w:rsid w:val="00E25B2C"/>
    <w:rsid w:val="00E2698B"/>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215F"/>
    <w:rsid w:val="00E73A86"/>
    <w:rsid w:val="00E74AF7"/>
    <w:rsid w:val="00E776C2"/>
    <w:rsid w:val="00E81A76"/>
    <w:rsid w:val="00E867CC"/>
    <w:rsid w:val="00E87CEB"/>
    <w:rsid w:val="00E95A13"/>
    <w:rsid w:val="00E97468"/>
    <w:rsid w:val="00EA3BD2"/>
    <w:rsid w:val="00EA6919"/>
    <w:rsid w:val="00EB02B0"/>
    <w:rsid w:val="00EB11F4"/>
    <w:rsid w:val="00EB1D8C"/>
    <w:rsid w:val="00EB3882"/>
    <w:rsid w:val="00EB46C9"/>
    <w:rsid w:val="00EB4C93"/>
    <w:rsid w:val="00EB5B77"/>
    <w:rsid w:val="00EB6D63"/>
    <w:rsid w:val="00EC110D"/>
    <w:rsid w:val="00EC4DE3"/>
    <w:rsid w:val="00ED0B4A"/>
    <w:rsid w:val="00ED2059"/>
    <w:rsid w:val="00ED41B6"/>
    <w:rsid w:val="00ED4E02"/>
    <w:rsid w:val="00ED59DD"/>
    <w:rsid w:val="00EE0E75"/>
    <w:rsid w:val="00EE367A"/>
    <w:rsid w:val="00EE370B"/>
    <w:rsid w:val="00EE7D01"/>
    <w:rsid w:val="00EF05CB"/>
    <w:rsid w:val="00EF1AA9"/>
    <w:rsid w:val="00EF3D12"/>
    <w:rsid w:val="00F03BC3"/>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C19"/>
    <w:rsid w:val="00F96036"/>
    <w:rsid w:val="00FA1754"/>
    <w:rsid w:val="00FA26BB"/>
    <w:rsid w:val="00FA42DA"/>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r="http://schemas.openxmlformats.org/officeDocument/2006/relationships" xmlns:w="http://schemas.openxmlformats.org/wordprocessingml/2006/main">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513E-58F2-4EE3-82DB-0462CDDD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3</Pages>
  <Words>819</Words>
  <Characters>4399</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5165</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sww59895</cp:lastModifiedBy>
  <cp:revision>2</cp:revision>
  <cp:lastPrinted>2014-10-14T16:13:00Z</cp:lastPrinted>
  <dcterms:created xsi:type="dcterms:W3CDTF">2015-11-03T21:19:00Z</dcterms:created>
  <dcterms:modified xsi:type="dcterms:W3CDTF">2015-11-03T21:19:00Z</dcterms:modified>
  <cp:category>Payroll Bulletin 2015-12</cp:category>
</cp:coreProperties>
</file>