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bookmarkStart w:id="0" w:name="_GoBack"/>
      <w:bookmarkEnd w:id="0"/>
      <w:r>
        <w:rPr>
          <w:b/>
          <w:i/>
          <w:sz w:val="36"/>
        </w:rPr>
        <w:t>Department of Accounts</w:t>
      </w:r>
    </w:p>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B20211" w:rsidRDefault="00B20211" w:rsidP="00B20211">
      <w:pPr>
        <w:pStyle w:val="Header"/>
        <w:jc w:val="center"/>
        <w:rPr>
          <w:sz w:val="16"/>
        </w:rPr>
      </w:pPr>
    </w:p>
    <w:tbl>
      <w:tblPr>
        <w:tblW w:w="0" w:type="auto"/>
        <w:tblInd w:w="18" w:type="dxa"/>
        <w:tblLayout w:type="fixed"/>
        <w:tblLook w:val="0000" w:firstRow="0" w:lastRow="0" w:firstColumn="0" w:lastColumn="0" w:noHBand="0" w:noVBand="0"/>
      </w:tblPr>
      <w:tblGrid>
        <w:gridCol w:w="3348"/>
        <w:gridCol w:w="3366"/>
        <w:gridCol w:w="3366"/>
      </w:tblGrid>
      <w:tr w:rsidR="00B20211" w:rsidTr="007F51A7">
        <w:tblPrEx>
          <w:tblCellMar>
            <w:top w:w="0" w:type="dxa"/>
            <w:bottom w:w="0" w:type="dxa"/>
          </w:tblCellMar>
        </w:tblPrEx>
        <w:trPr>
          <w:cantSplit/>
        </w:trPr>
        <w:tc>
          <w:tcPr>
            <w:tcW w:w="3348" w:type="dxa"/>
            <w:tcBorders>
              <w:bottom w:val="double" w:sz="6" w:space="0" w:color="auto"/>
            </w:tcBorders>
          </w:tcPr>
          <w:p w:rsidR="00B20211" w:rsidRDefault="00B20211" w:rsidP="006B618E">
            <w:pPr>
              <w:pStyle w:val="Header"/>
              <w:rPr>
                <w:b/>
                <w:sz w:val="20"/>
              </w:rPr>
            </w:pPr>
            <w:r>
              <w:rPr>
                <w:b/>
                <w:sz w:val="20"/>
              </w:rPr>
              <w:t xml:space="preserve">Calendar Year </w:t>
            </w:r>
            <w:r w:rsidR="00BC16C7">
              <w:rPr>
                <w:b/>
                <w:sz w:val="20"/>
              </w:rPr>
              <w:t>201</w:t>
            </w:r>
            <w:r w:rsidR="006B618E">
              <w:rPr>
                <w:b/>
                <w:sz w:val="20"/>
              </w:rPr>
              <w:t>6</w:t>
            </w:r>
          </w:p>
        </w:tc>
        <w:tc>
          <w:tcPr>
            <w:tcW w:w="3366" w:type="dxa"/>
            <w:tcBorders>
              <w:bottom w:val="double" w:sz="6" w:space="0" w:color="auto"/>
            </w:tcBorders>
          </w:tcPr>
          <w:p w:rsidR="00B20211" w:rsidRDefault="006B618E" w:rsidP="003A2239">
            <w:pPr>
              <w:pStyle w:val="Header"/>
              <w:jc w:val="center"/>
              <w:rPr>
                <w:b/>
                <w:sz w:val="20"/>
              </w:rPr>
            </w:pPr>
            <w:r>
              <w:rPr>
                <w:b/>
                <w:sz w:val="20"/>
              </w:rPr>
              <w:t xml:space="preserve">March </w:t>
            </w:r>
            <w:r w:rsidR="00534889">
              <w:rPr>
                <w:b/>
                <w:sz w:val="20"/>
              </w:rPr>
              <w:t>2</w:t>
            </w:r>
            <w:r w:rsidR="003A2239">
              <w:rPr>
                <w:b/>
                <w:sz w:val="20"/>
              </w:rPr>
              <w:t>5</w:t>
            </w:r>
            <w:r w:rsidR="00415425">
              <w:rPr>
                <w:b/>
                <w:sz w:val="20"/>
              </w:rPr>
              <w:t>, 201</w:t>
            </w:r>
            <w:r w:rsidR="003E202C">
              <w:rPr>
                <w:b/>
                <w:sz w:val="20"/>
              </w:rPr>
              <w:t>6</w:t>
            </w:r>
          </w:p>
        </w:tc>
        <w:tc>
          <w:tcPr>
            <w:tcW w:w="3366" w:type="dxa"/>
            <w:tcBorders>
              <w:bottom w:val="double" w:sz="6" w:space="0" w:color="auto"/>
            </w:tcBorders>
          </w:tcPr>
          <w:p w:rsidR="00B20211" w:rsidRDefault="00B20211" w:rsidP="00534889">
            <w:pPr>
              <w:pStyle w:val="Header"/>
              <w:jc w:val="right"/>
              <w:rPr>
                <w:b/>
                <w:sz w:val="20"/>
              </w:rPr>
            </w:pPr>
            <w:r>
              <w:rPr>
                <w:b/>
                <w:sz w:val="20"/>
              </w:rPr>
              <w:t xml:space="preserve">Volume </w:t>
            </w:r>
            <w:r w:rsidR="006B618E">
              <w:rPr>
                <w:b/>
                <w:sz w:val="20"/>
              </w:rPr>
              <w:t>2016</w:t>
            </w:r>
            <w:r w:rsidR="00415425">
              <w:rPr>
                <w:b/>
                <w:sz w:val="20"/>
              </w:rPr>
              <w:t>-</w:t>
            </w:r>
            <w:r w:rsidR="003E202C">
              <w:rPr>
                <w:b/>
                <w:sz w:val="20"/>
              </w:rPr>
              <w:t>0</w:t>
            </w:r>
            <w:r w:rsidR="00534889">
              <w:rPr>
                <w:b/>
                <w:sz w:val="20"/>
              </w:rPr>
              <w:t>4</w:t>
            </w:r>
          </w:p>
        </w:tc>
      </w:tr>
    </w:tbl>
    <w:p w:rsidR="00B20211" w:rsidRDefault="00B20211" w:rsidP="00B20211">
      <w:pPr>
        <w:tabs>
          <w:tab w:val="left" w:pos="990"/>
        </w:tabs>
        <w:jc w:val="center"/>
      </w:pPr>
    </w:p>
    <w:p w:rsidR="00B20211" w:rsidRDefault="00B20211" w:rsidP="00B20211">
      <w:pPr>
        <w:tabs>
          <w:tab w:val="left" w:pos="990"/>
        </w:tabs>
      </w:pPr>
    </w:p>
    <w:tbl>
      <w:tblPr>
        <w:tblW w:w="0" w:type="auto"/>
        <w:tblLook w:val="01E0" w:firstRow="1" w:lastRow="1" w:firstColumn="1" w:lastColumn="1" w:noHBand="0" w:noVBand="0"/>
      </w:tblPr>
      <w:tblGrid>
        <w:gridCol w:w="2245"/>
        <w:gridCol w:w="4112"/>
        <w:gridCol w:w="3795"/>
      </w:tblGrid>
      <w:tr w:rsidR="00B20211" w:rsidTr="00612422">
        <w:tc>
          <w:tcPr>
            <w:tcW w:w="2245" w:type="dxa"/>
          </w:tcPr>
          <w:p w:rsidR="00B20211" w:rsidRPr="00612422" w:rsidRDefault="00B20211" w:rsidP="00612422">
            <w:pPr>
              <w:tabs>
                <w:tab w:val="left" w:pos="990"/>
              </w:tabs>
              <w:spacing w:before="120"/>
              <w:rPr>
                <w:i/>
                <w:sz w:val="32"/>
                <w:szCs w:val="32"/>
              </w:rPr>
            </w:pPr>
            <w:r w:rsidRPr="00612422">
              <w:rPr>
                <w:i/>
                <w:sz w:val="32"/>
                <w:szCs w:val="32"/>
              </w:rPr>
              <w:t>In This Issue of the Payroll Bulletin…....</w:t>
            </w:r>
          </w:p>
          <w:p w:rsidR="00B20211" w:rsidRPr="00612422" w:rsidRDefault="00B20211" w:rsidP="00612422">
            <w:pPr>
              <w:spacing w:before="120"/>
              <w:rPr>
                <w:b/>
              </w:rPr>
            </w:pPr>
          </w:p>
        </w:tc>
        <w:tc>
          <w:tcPr>
            <w:tcW w:w="4112" w:type="dxa"/>
          </w:tcPr>
          <w:p w:rsidR="00E02CD9" w:rsidRDefault="00534889" w:rsidP="00612422">
            <w:pPr>
              <w:numPr>
                <w:ilvl w:val="0"/>
                <w:numId w:val="2"/>
              </w:numPr>
              <w:tabs>
                <w:tab w:val="left" w:pos="990"/>
              </w:tabs>
              <w:spacing w:before="60"/>
              <w:ind w:left="547"/>
              <w:rPr>
                <w:b/>
                <w:szCs w:val="24"/>
              </w:rPr>
            </w:pPr>
            <w:r>
              <w:rPr>
                <w:b/>
                <w:szCs w:val="24"/>
              </w:rPr>
              <w:t>Employee Payments in Cardinal</w:t>
            </w:r>
          </w:p>
          <w:p w:rsidR="00534889" w:rsidRDefault="00534889" w:rsidP="00612422">
            <w:pPr>
              <w:numPr>
                <w:ilvl w:val="0"/>
                <w:numId w:val="2"/>
              </w:numPr>
              <w:tabs>
                <w:tab w:val="left" w:pos="990"/>
              </w:tabs>
              <w:spacing w:before="60"/>
              <w:ind w:left="547"/>
              <w:rPr>
                <w:b/>
                <w:szCs w:val="24"/>
              </w:rPr>
            </w:pPr>
            <w:r>
              <w:rPr>
                <w:b/>
                <w:szCs w:val="24"/>
              </w:rPr>
              <w:t>Splitting Garnishment Payments</w:t>
            </w:r>
          </w:p>
          <w:p w:rsidR="00B20211" w:rsidRPr="00580CFE" w:rsidRDefault="00C61BA4" w:rsidP="00612422">
            <w:pPr>
              <w:numPr>
                <w:ilvl w:val="0"/>
                <w:numId w:val="2"/>
              </w:numPr>
              <w:tabs>
                <w:tab w:val="left" w:pos="990"/>
              </w:tabs>
              <w:spacing w:before="60"/>
              <w:ind w:left="547"/>
              <w:rPr>
                <w:b/>
                <w:szCs w:val="24"/>
              </w:rPr>
            </w:pPr>
            <w:r>
              <w:rPr>
                <w:b/>
                <w:szCs w:val="24"/>
              </w:rPr>
              <w:t>Health Insurance Recons Email Address</w:t>
            </w:r>
          </w:p>
          <w:p w:rsidR="00B20211" w:rsidRPr="00612422" w:rsidRDefault="00B20211" w:rsidP="00534889">
            <w:pPr>
              <w:tabs>
                <w:tab w:val="left" w:pos="990"/>
              </w:tabs>
              <w:spacing w:before="60"/>
              <w:ind w:left="187"/>
              <w:rPr>
                <w:sz w:val="28"/>
                <w:szCs w:val="28"/>
              </w:rPr>
            </w:pPr>
          </w:p>
        </w:tc>
        <w:tc>
          <w:tcPr>
            <w:tcW w:w="3795" w:type="dxa"/>
          </w:tcPr>
          <w:p w:rsidR="00B20211" w:rsidRPr="00612422" w:rsidRDefault="00B20211" w:rsidP="00612422">
            <w:pPr>
              <w:tabs>
                <w:tab w:val="left" w:pos="990"/>
              </w:tabs>
              <w:spacing w:before="120"/>
              <w:rPr>
                <w:sz w:val="20"/>
              </w:rPr>
            </w:pPr>
            <w:r w:rsidRPr="00612422">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8" w:history="1">
              <w:r w:rsidRPr="00612422">
                <w:rPr>
                  <w:rStyle w:val="Hyperlink"/>
                  <w:sz w:val="20"/>
                </w:rPr>
                <w:t>cathy.mcgill@doa.virginia.gov</w:t>
              </w:r>
            </w:hyperlink>
          </w:p>
          <w:p w:rsidR="00B20211" w:rsidRPr="00612422" w:rsidRDefault="00B20211" w:rsidP="00612422">
            <w:pPr>
              <w:tabs>
                <w:tab w:val="left" w:pos="990"/>
              </w:tabs>
              <w:spacing w:before="120"/>
              <w:jc w:val="both"/>
              <w:rPr>
                <w:sz w:val="20"/>
                <w:u w:val="single"/>
              </w:rPr>
            </w:pPr>
            <w:r w:rsidRPr="00612422">
              <w:rPr>
                <w:sz w:val="20"/>
                <w:u w:val="single"/>
              </w:rPr>
              <w:t>State Payroll Operations</w:t>
            </w:r>
          </w:p>
          <w:p w:rsidR="00B20211" w:rsidRPr="00612422" w:rsidRDefault="00B20211" w:rsidP="00612422">
            <w:pPr>
              <w:tabs>
                <w:tab w:val="left" w:pos="990"/>
              </w:tabs>
              <w:spacing w:before="120"/>
              <w:rPr>
                <w:sz w:val="20"/>
              </w:rPr>
            </w:pPr>
            <w:r w:rsidRPr="00612422">
              <w:rPr>
                <w:b/>
                <w:sz w:val="20"/>
              </w:rPr>
              <w:t>Director                         Lora L. George</w:t>
            </w:r>
          </w:p>
          <w:p w:rsidR="00B20211" w:rsidRPr="00612422" w:rsidRDefault="00B20211" w:rsidP="00612422">
            <w:pPr>
              <w:tabs>
                <w:tab w:val="left" w:pos="990"/>
              </w:tabs>
              <w:spacing w:before="120"/>
              <w:rPr>
                <w:szCs w:val="24"/>
              </w:rPr>
            </w:pPr>
            <w:r w:rsidRPr="00612422">
              <w:rPr>
                <w:sz w:val="20"/>
              </w:rPr>
              <w:t>Assistant Director          Cathy C. McGill</w:t>
            </w:r>
          </w:p>
        </w:tc>
      </w:tr>
    </w:tbl>
    <w:p w:rsidR="00B20211" w:rsidRPr="00C50FDD" w:rsidRDefault="00B20211" w:rsidP="00C50FDD">
      <w:pPr>
        <w:pStyle w:val="BlockLine"/>
        <w:spacing w:before="120"/>
        <w:ind w:left="1620"/>
        <w:rPr>
          <w:sz w:val="16"/>
          <w:szCs w:val="16"/>
        </w:rPr>
      </w:pPr>
    </w:p>
    <w:p w:rsidR="007700AC" w:rsidRDefault="0059219E" w:rsidP="007700AC">
      <w:pPr>
        <w:pStyle w:val="Heading4"/>
        <w:spacing w:after="0"/>
        <w:rPr>
          <w:rFonts w:ascii="Times New Roman" w:hAnsi="Times New Roman"/>
          <w:b/>
          <w:sz w:val="28"/>
          <w:szCs w:val="28"/>
        </w:rPr>
      </w:pPr>
      <w:r>
        <w:rPr>
          <w:rFonts w:ascii="Times New Roman" w:hAnsi="Times New Roman"/>
          <w:b/>
          <w:sz w:val="28"/>
          <w:szCs w:val="28"/>
        </w:rPr>
        <w:t>Employee Payments in Cardinal</w:t>
      </w:r>
    </w:p>
    <w:p w:rsidR="007700AC" w:rsidRPr="00C50FDD" w:rsidRDefault="007700AC" w:rsidP="007700AC">
      <w:pPr>
        <w:pStyle w:val="BlockLine"/>
        <w:ind w:left="1620"/>
        <w:rPr>
          <w:sz w:val="16"/>
          <w:szCs w:val="16"/>
        </w:rPr>
      </w:pPr>
    </w:p>
    <w:tbl>
      <w:tblPr>
        <w:tblW w:w="10188" w:type="dxa"/>
        <w:tblLayout w:type="fixed"/>
        <w:tblLook w:val="0000" w:firstRow="0" w:lastRow="0" w:firstColumn="0" w:lastColumn="0" w:noHBand="0" w:noVBand="0"/>
      </w:tblPr>
      <w:tblGrid>
        <w:gridCol w:w="1728"/>
        <w:gridCol w:w="8460"/>
      </w:tblGrid>
      <w:tr w:rsidR="0079072D" w:rsidRPr="007700AC" w:rsidTr="00C45B23">
        <w:tblPrEx>
          <w:tblCellMar>
            <w:top w:w="0" w:type="dxa"/>
            <w:bottom w:w="0" w:type="dxa"/>
          </w:tblCellMar>
        </w:tblPrEx>
        <w:trPr>
          <w:cantSplit/>
        </w:trPr>
        <w:tc>
          <w:tcPr>
            <w:tcW w:w="1728" w:type="dxa"/>
          </w:tcPr>
          <w:p w:rsidR="0079072D" w:rsidRPr="007700AC" w:rsidRDefault="0062377A" w:rsidP="007700AC">
            <w:pPr>
              <w:pStyle w:val="Heading5"/>
              <w:rPr>
                <w:sz w:val="24"/>
                <w:szCs w:val="24"/>
              </w:rPr>
            </w:pPr>
            <w:r>
              <w:rPr>
                <w:sz w:val="24"/>
                <w:szCs w:val="24"/>
              </w:rPr>
              <w:t>Employee DD Returns – No New Account</w:t>
            </w:r>
          </w:p>
        </w:tc>
        <w:tc>
          <w:tcPr>
            <w:tcW w:w="8460" w:type="dxa"/>
          </w:tcPr>
          <w:p w:rsidR="00176083" w:rsidRPr="007700AC" w:rsidRDefault="00C61BA4" w:rsidP="0062377A">
            <w:pPr>
              <w:rPr>
                <w:szCs w:val="24"/>
              </w:rPr>
            </w:pPr>
            <w:r w:rsidRPr="00C61BA4">
              <w:rPr>
                <w:szCs w:val="24"/>
              </w:rPr>
              <w:t xml:space="preserve">There are times when an employee’s direct deposit must be stopped but the employee is still due the funds (e.g., due to identify theft the employee’s bank account had to be closed and there is no new account yet).  While waiting for the employee to set up a new account, the employee is in need of their pay to cover expenses.  </w:t>
            </w:r>
          </w:p>
        </w:tc>
      </w:tr>
    </w:tbl>
    <w:p w:rsidR="00B20211" w:rsidRPr="001E0E97" w:rsidRDefault="00B20211" w:rsidP="00B20211">
      <w:pPr>
        <w:pStyle w:val="BlockLine"/>
        <w:ind w:left="1620"/>
        <w:rPr>
          <w:sz w:val="20"/>
        </w:rPr>
      </w:pPr>
    </w:p>
    <w:tbl>
      <w:tblPr>
        <w:tblW w:w="10188" w:type="dxa"/>
        <w:tblLayout w:type="fixed"/>
        <w:tblLook w:val="0000" w:firstRow="0" w:lastRow="0" w:firstColumn="0" w:lastColumn="0" w:noHBand="0" w:noVBand="0"/>
      </w:tblPr>
      <w:tblGrid>
        <w:gridCol w:w="1728"/>
        <w:gridCol w:w="8460"/>
      </w:tblGrid>
      <w:tr w:rsidR="0062377A" w:rsidTr="003A200B">
        <w:tblPrEx>
          <w:tblCellMar>
            <w:top w:w="0" w:type="dxa"/>
            <w:bottom w:w="0" w:type="dxa"/>
          </w:tblCellMar>
        </w:tblPrEx>
        <w:trPr>
          <w:cantSplit/>
        </w:trPr>
        <w:tc>
          <w:tcPr>
            <w:tcW w:w="1728" w:type="dxa"/>
          </w:tcPr>
          <w:p w:rsidR="0062377A" w:rsidRDefault="0062377A" w:rsidP="003A200B">
            <w:pPr>
              <w:pStyle w:val="Heading5"/>
            </w:pPr>
            <w:r>
              <w:t>Cardinal Processing</w:t>
            </w:r>
          </w:p>
        </w:tc>
        <w:tc>
          <w:tcPr>
            <w:tcW w:w="8460" w:type="dxa"/>
          </w:tcPr>
          <w:p w:rsidR="0062377A" w:rsidRPr="00C61BA4" w:rsidRDefault="0062377A" w:rsidP="00FF1B4B">
            <w:pPr>
              <w:rPr>
                <w:szCs w:val="24"/>
              </w:rPr>
            </w:pPr>
            <w:r>
              <w:rPr>
                <w:bCs/>
                <w:szCs w:val="24"/>
              </w:rPr>
              <w:t xml:space="preserve">DOA State Payroll Ops will return the funds to the agency </w:t>
            </w:r>
            <w:r w:rsidRPr="00C61BA4">
              <w:rPr>
                <w:bCs/>
                <w:szCs w:val="24"/>
              </w:rPr>
              <w:t xml:space="preserve">using </w:t>
            </w:r>
            <w:r>
              <w:rPr>
                <w:bCs/>
                <w:szCs w:val="24"/>
              </w:rPr>
              <w:t xml:space="preserve">the </w:t>
            </w:r>
            <w:r w:rsidRPr="00C61BA4">
              <w:rPr>
                <w:bCs/>
                <w:szCs w:val="24"/>
              </w:rPr>
              <w:t>Accounts Receivable</w:t>
            </w:r>
            <w:r>
              <w:rPr>
                <w:bCs/>
                <w:szCs w:val="24"/>
              </w:rPr>
              <w:t xml:space="preserve"> function in Cardinal</w:t>
            </w:r>
            <w:r w:rsidRPr="00C61BA4">
              <w:rPr>
                <w:bCs/>
                <w:szCs w:val="24"/>
              </w:rPr>
              <w:t xml:space="preserve">.  They will be credited back to the employee’s programmatic data as found in CIPPS (i.e., you will see a credit to the expenditure account in Cardinal used to record their pay). </w:t>
            </w:r>
            <w:r w:rsidRPr="00C61BA4">
              <w:rPr>
                <w:szCs w:val="24"/>
              </w:rPr>
              <w:t>The payment to the employee must then be processed using the Employee Expense Report in Cardinal.  (</w:t>
            </w:r>
            <w:r w:rsidRPr="00C61BA4">
              <w:rPr>
                <w:bCs/>
                <w:szCs w:val="24"/>
              </w:rPr>
              <w:t xml:space="preserve">Main Menu &gt; Employee Self Service &gt; Travel and Expense Center &gt; Expense Report &gt; Create).  When completing the Expense Report be sure to use an expense type of “Other Employee Reimbursement.”   Please be sure to update the ChartFields on the Expense </w:t>
            </w:r>
            <w:r w:rsidR="00FF1B4B">
              <w:rPr>
                <w:bCs/>
                <w:szCs w:val="24"/>
              </w:rPr>
              <w:t>R</w:t>
            </w:r>
            <w:r w:rsidRPr="00C61BA4">
              <w:rPr>
                <w:bCs/>
                <w:szCs w:val="24"/>
              </w:rPr>
              <w:t>eport to match the deposit where the funds were returned.</w:t>
            </w:r>
          </w:p>
        </w:tc>
      </w:tr>
    </w:tbl>
    <w:p w:rsidR="0062377A" w:rsidRPr="007700AC" w:rsidRDefault="0062377A" w:rsidP="0062377A">
      <w:pPr>
        <w:pStyle w:val="BlockLine"/>
        <w:ind w:left="1620"/>
        <w:rPr>
          <w:szCs w:val="24"/>
        </w:rPr>
      </w:pPr>
      <w:r>
        <w:t xml:space="preserve"> </w:t>
      </w:r>
    </w:p>
    <w:tbl>
      <w:tblPr>
        <w:tblW w:w="10188" w:type="dxa"/>
        <w:tblLayout w:type="fixed"/>
        <w:tblLook w:val="0000" w:firstRow="0" w:lastRow="0" w:firstColumn="0" w:lastColumn="0" w:noHBand="0" w:noVBand="0"/>
      </w:tblPr>
      <w:tblGrid>
        <w:gridCol w:w="1728"/>
        <w:gridCol w:w="8460"/>
      </w:tblGrid>
      <w:tr w:rsidR="00EB6181" w:rsidTr="00BA6BD8">
        <w:tblPrEx>
          <w:tblCellMar>
            <w:top w:w="0" w:type="dxa"/>
            <w:bottom w:w="0" w:type="dxa"/>
          </w:tblCellMar>
        </w:tblPrEx>
        <w:trPr>
          <w:cantSplit/>
        </w:trPr>
        <w:tc>
          <w:tcPr>
            <w:tcW w:w="1728" w:type="dxa"/>
          </w:tcPr>
          <w:p w:rsidR="00EB6181" w:rsidRDefault="00C61BA4" w:rsidP="00340826">
            <w:pPr>
              <w:pStyle w:val="Heading5"/>
            </w:pPr>
            <w:r>
              <w:t>Employee Profile</w:t>
            </w:r>
          </w:p>
        </w:tc>
        <w:tc>
          <w:tcPr>
            <w:tcW w:w="8460" w:type="dxa"/>
          </w:tcPr>
          <w:p w:rsidR="00EB6181" w:rsidRPr="00C61BA4" w:rsidRDefault="00FF1B4B" w:rsidP="007929BD">
            <w:pPr>
              <w:rPr>
                <w:szCs w:val="24"/>
              </w:rPr>
            </w:pPr>
            <w:r>
              <w:rPr>
                <w:szCs w:val="24"/>
              </w:rPr>
              <w:t xml:space="preserve">Before the Expense Report can be used, however, </w:t>
            </w:r>
            <w:r w:rsidR="00C61BA4" w:rsidRPr="00C61BA4">
              <w:rPr>
                <w:szCs w:val="24"/>
              </w:rPr>
              <w:t>an employee profile must exist</w:t>
            </w:r>
            <w:r>
              <w:rPr>
                <w:szCs w:val="24"/>
              </w:rPr>
              <w:t xml:space="preserve"> in Cardinal</w:t>
            </w:r>
            <w:r w:rsidR="00C61BA4" w:rsidRPr="00C61BA4">
              <w:rPr>
                <w:szCs w:val="24"/>
              </w:rPr>
              <w:t>. (</w:t>
            </w:r>
            <w:r w:rsidR="00C61BA4" w:rsidRPr="00C61BA4">
              <w:rPr>
                <w:bCs/>
                <w:szCs w:val="24"/>
              </w:rPr>
              <w:t xml:space="preserve">Main Menu &gt; Travel and Expenses &gt; Manage Employee Information &gt;Update Profile)  </w:t>
            </w:r>
            <w:r w:rsidR="00C61BA4" w:rsidRPr="00C61BA4">
              <w:rPr>
                <w:szCs w:val="24"/>
              </w:rPr>
              <w:t xml:space="preserve">The employee profile contains </w:t>
            </w:r>
            <w:r w:rsidR="00C61BA4" w:rsidRPr="00C61BA4">
              <w:rPr>
                <w:bCs/>
                <w:szCs w:val="24"/>
              </w:rPr>
              <w:t xml:space="preserve">Default ChartField Values </w:t>
            </w:r>
            <w:r w:rsidR="00C61BA4" w:rsidRPr="00C61BA4">
              <w:rPr>
                <w:szCs w:val="24"/>
              </w:rPr>
              <w:t xml:space="preserve">which automatically populate any expense report created on behalf of that employee.  If the employee already has a profile it will have the bank account information from CIPPS already in it.  </w:t>
            </w:r>
            <w:r w:rsidR="002066D8">
              <w:rPr>
                <w:szCs w:val="24"/>
              </w:rPr>
              <w:t xml:space="preserve">State Payroll Ops will contact </w:t>
            </w:r>
            <w:r w:rsidR="00C61BA4" w:rsidRPr="00C61BA4">
              <w:rPr>
                <w:szCs w:val="24"/>
              </w:rPr>
              <w:t xml:space="preserve">the DOA EDI group to request that the employee’s profile is changed to “check”.  </w:t>
            </w:r>
            <w:r w:rsidR="002066D8">
              <w:rPr>
                <w:szCs w:val="24"/>
              </w:rPr>
              <w:t xml:space="preserve">Once new information is entered into CIPPS, the EDI </w:t>
            </w:r>
            <w:r w:rsidR="00D70C43">
              <w:rPr>
                <w:szCs w:val="24"/>
              </w:rPr>
              <w:t xml:space="preserve">account information </w:t>
            </w:r>
            <w:r w:rsidR="002066D8">
              <w:rPr>
                <w:szCs w:val="24"/>
              </w:rPr>
              <w:t>will automatically update after the next payroll certification.</w:t>
            </w:r>
          </w:p>
        </w:tc>
      </w:tr>
    </w:tbl>
    <w:p w:rsidR="00EB6181" w:rsidRPr="007700AC" w:rsidRDefault="00EB6181" w:rsidP="00EB6181">
      <w:pPr>
        <w:pStyle w:val="BlockLine"/>
        <w:ind w:left="1620"/>
        <w:rPr>
          <w:szCs w:val="24"/>
        </w:rPr>
      </w:pPr>
      <w:r>
        <w:t xml:space="preserve"> </w:t>
      </w:r>
    </w:p>
    <w:p w:rsidR="00C61BA4" w:rsidRDefault="00C61BA4" w:rsidP="00404F89">
      <w:pPr>
        <w:pStyle w:val="Heading4"/>
        <w:spacing w:after="0"/>
        <w:rPr>
          <w:rFonts w:ascii="Times New Roman" w:hAnsi="Times New Roman"/>
          <w:b/>
          <w:sz w:val="28"/>
          <w:szCs w:val="28"/>
        </w:rPr>
      </w:pPr>
    </w:p>
    <w:p w:rsidR="002066D8" w:rsidRDefault="002066D8" w:rsidP="00986722">
      <w:pPr>
        <w:pStyle w:val="Heading4"/>
        <w:spacing w:after="0"/>
        <w:rPr>
          <w:rFonts w:ascii="Times New Roman" w:hAnsi="Times New Roman"/>
          <w:b/>
          <w:sz w:val="28"/>
          <w:szCs w:val="28"/>
        </w:rPr>
      </w:pPr>
    </w:p>
    <w:p w:rsidR="00986722" w:rsidRDefault="00986722" w:rsidP="00986722">
      <w:pPr>
        <w:pStyle w:val="Heading4"/>
        <w:spacing w:after="0"/>
        <w:rPr>
          <w:rFonts w:ascii="Times New Roman" w:hAnsi="Times New Roman"/>
          <w:b/>
          <w:sz w:val="28"/>
          <w:szCs w:val="28"/>
        </w:rPr>
      </w:pPr>
      <w:proofErr w:type="gramStart"/>
      <w:r>
        <w:rPr>
          <w:rFonts w:ascii="Times New Roman" w:hAnsi="Times New Roman"/>
          <w:b/>
          <w:sz w:val="28"/>
          <w:szCs w:val="28"/>
        </w:rPr>
        <w:lastRenderedPageBreak/>
        <w:t>Employee Payments in Cardinal, cont.</w:t>
      </w:r>
      <w:proofErr w:type="gramEnd"/>
    </w:p>
    <w:p w:rsidR="00986722" w:rsidRPr="001E0E97" w:rsidRDefault="00986722" w:rsidP="00986722">
      <w:pPr>
        <w:pStyle w:val="BlockLine"/>
        <w:ind w:left="1620"/>
        <w:rPr>
          <w:sz w:val="20"/>
        </w:rPr>
      </w:pPr>
    </w:p>
    <w:tbl>
      <w:tblPr>
        <w:tblW w:w="10188" w:type="dxa"/>
        <w:tblLayout w:type="fixed"/>
        <w:tblLook w:val="0000" w:firstRow="0" w:lastRow="0" w:firstColumn="0" w:lastColumn="0" w:noHBand="0" w:noVBand="0"/>
      </w:tblPr>
      <w:tblGrid>
        <w:gridCol w:w="1728"/>
        <w:gridCol w:w="8460"/>
      </w:tblGrid>
      <w:tr w:rsidR="00986722" w:rsidTr="003A200B">
        <w:tblPrEx>
          <w:tblCellMar>
            <w:top w:w="0" w:type="dxa"/>
            <w:bottom w:w="0" w:type="dxa"/>
          </w:tblCellMar>
        </w:tblPrEx>
        <w:trPr>
          <w:cantSplit/>
        </w:trPr>
        <w:tc>
          <w:tcPr>
            <w:tcW w:w="1728" w:type="dxa"/>
          </w:tcPr>
          <w:p w:rsidR="00986722" w:rsidRDefault="00986722" w:rsidP="003A200B">
            <w:pPr>
              <w:pStyle w:val="Heading5"/>
            </w:pPr>
            <w:r>
              <w:t>Cardinal Job Aids</w:t>
            </w:r>
          </w:p>
        </w:tc>
        <w:tc>
          <w:tcPr>
            <w:tcW w:w="8460" w:type="dxa"/>
          </w:tcPr>
          <w:p w:rsidR="00986722" w:rsidRPr="00986722" w:rsidRDefault="00986722" w:rsidP="00986722">
            <w:pPr>
              <w:rPr>
                <w:bCs/>
                <w:szCs w:val="24"/>
              </w:rPr>
            </w:pPr>
            <w:r w:rsidRPr="00986722">
              <w:rPr>
                <w:bCs/>
                <w:szCs w:val="24"/>
              </w:rPr>
              <w:t>The links below provide guidance on how to complete an employee profile as well as an expense report.</w:t>
            </w:r>
          </w:p>
          <w:p w:rsidR="00986722" w:rsidRPr="00986722" w:rsidRDefault="00986722" w:rsidP="00986722">
            <w:pPr>
              <w:pStyle w:val="Default"/>
            </w:pPr>
          </w:p>
          <w:p w:rsidR="00986722" w:rsidRDefault="00986722" w:rsidP="00986722">
            <w:pPr>
              <w:rPr>
                <w:szCs w:val="24"/>
              </w:rPr>
            </w:pPr>
            <w:hyperlink r:id="rId9" w:history="1">
              <w:r w:rsidRPr="00986722">
                <w:rPr>
                  <w:rStyle w:val="Hyperlink"/>
                  <w:szCs w:val="24"/>
                </w:rPr>
                <w:t>http://www.cardinalproject.virginia.gov/Statewide%20Training/AccountsPayable/SW_AP315A_Process_Emp_Exp_Online.pdf</w:t>
              </w:r>
            </w:hyperlink>
            <w:r w:rsidRPr="00986722">
              <w:rPr>
                <w:szCs w:val="24"/>
              </w:rPr>
              <w:t xml:space="preserve"> </w:t>
            </w:r>
          </w:p>
          <w:p w:rsidR="00AF0AE9" w:rsidRPr="00986722" w:rsidRDefault="00AF0AE9" w:rsidP="00986722">
            <w:pPr>
              <w:rPr>
                <w:szCs w:val="24"/>
              </w:rPr>
            </w:pPr>
          </w:p>
          <w:p w:rsidR="00986722" w:rsidRDefault="00986722" w:rsidP="00986722">
            <w:pPr>
              <w:rPr>
                <w:szCs w:val="24"/>
              </w:rPr>
            </w:pPr>
            <w:hyperlink r:id="rId10" w:history="1">
              <w:r w:rsidRPr="00986722">
                <w:rPr>
                  <w:rStyle w:val="Hyperlink"/>
                  <w:szCs w:val="24"/>
                </w:rPr>
                <w:t>http://www.cardinalproject.virginia.gov/Statewide%20Job%20Aids/Accounts_Payable/SW%20AP316%20Creating%20and%20Updating%20an%20Employee%20Profile.pdf</w:t>
              </w:r>
            </w:hyperlink>
            <w:r w:rsidRPr="00986722">
              <w:rPr>
                <w:szCs w:val="24"/>
              </w:rPr>
              <w:t xml:space="preserve"> </w:t>
            </w:r>
          </w:p>
          <w:p w:rsidR="00AF0AE9" w:rsidRPr="00986722" w:rsidRDefault="00AF0AE9" w:rsidP="00986722">
            <w:pPr>
              <w:rPr>
                <w:szCs w:val="24"/>
              </w:rPr>
            </w:pPr>
          </w:p>
          <w:p w:rsidR="00986722" w:rsidRDefault="00986722" w:rsidP="00986722">
            <w:pPr>
              <w:rPr>
                <w:szCs w:val="24"/>
              </w:rPr>
            </w:pPr>
            <w:hyperlink r:id="rId11" w:history="1">
              <w:r w:rsidRPr="00986722">
                <w:rPr>
                  <w:rStyle w:val="Hyperlink"/>
                  <w:szCs w:val="24"/>
                </w:rPr>
                <w:t>http://www.cardinalproject.virginia.gov/Statewide%20Job%20Aids/Accounts_Payable/SW_AP315A_Tips_for_Enterig_Exp.pdf</w:t>
              </w:r>
            </w:hyperlink>
            <w:r w:rsidRPr="00986722">
              <w:rPr>
                <w:szCs w:val="24"/>
              </w:rPr>
              <w:t xml:space="preserve"> </w:t>
            </w:r>
          </w:p>
          <w:p w:rsidR="00AF0AE9" w:rsidRPr="00986722" w:rsidRDefault="00AF0AE9" w:rsidP="00986722">
            <w:pPr>
              <w:rPr>
                <w:szCs w:val="24"/>
              </w:rPr>
            </w:pPr>
          </w:p>
          <w:p w:rsidR="00986722" w:rsidRPr="00986722" w:rsidRDefault="00986722" w:rsidP="00986722">
            <w:pPr>
              <w:rPr>
                <w:szCs w:val="24"/>
              </w:rPr>
            </w:pPr>
            <w:hyperlink r:id="rId12" w:history="1">
              <w:r w:rsidRPr="00986722">
                <w:rPr>
                  <w:rStyle w:val="Hyperlink"/>
                  <w:szCs w:val="24"/>
                </w:rPr>
                <w:t>http://www.cardinalproject.virginia.gov/Statewide%20Job%20Aids/Accounts_Payable/AP315A_Expense_Type_Coding.pdf</w:t>
              </w:r>
            </w:hyperlink>
            <w:r w:rsidRPr="00986722">
              <w:rPr>
                <w:szCs w:val="24"/>
              </w:rPr>
              <w:t xml:space="preserve"> </w:t>
            </w:r>
          </w:p>
          <w:p w:rsidR="00986722" w:rsidRPr="00C61BA4" w:rsidRDefault="00986722" w:rsidP="003A200B">
            <w:pPr>
              <w:rPr>
                <w:szCs w:val="24"/>
              </w:rPr>
            </w:pPr>
          </w:p>
        </w:tc>
      </w:tr>
    </w:tbl>
    <w:p w:rsidR="00986722" w:rsidRPr="007700AC" w:rsidRDefault="00986722" w:rsidP="00986722">
      <w:pPr>
        <w:pStyle w:val="BlockLine"/>
        <w:ind w:left="1620"/>
        <w:rPr>
          <w:szCs w:val="24"/>
        </w:rPr>
      </w:pPr>
      <w:r>
        <w:t xml:space="preserve"> </w:t>
      </w:r>
    </w:p>
    <w:p w:rsidR="00C15874" w:rsidRDefault="00C15874" w:rsidP="00C15874">
      <w:pPr>
        <w:pStyle w:val="Heading4"/>
        <w:spacing w:after="0"/>
        <w:rPr>
          <w:rFonts w:ascii="Times New Roman" w:hAnsi="Times New Roman"/>
          <w:b/>
          <w:sz w:val="28"/>
          <w:szCs w:val="28"/>
        </w:rPr>
      </w:pPr>
      <w:r>
        <w:rPr>
          <w:rFonts w:ascii="Times New Roman" w:hAnsi="Times New Roman"/>
          <w:b/>
          <w:sz w:val="28"/>
          <w:szCs w:val="28"/>
        </w:rPr>
        <w:t>Splitting Garnishment Payments</w:t>
      </w:r>
    </w:p>
    <w:p w:rsidR="00C15874" w:rsidRPr="001E0E97" w:rsidRDefault="00C15874" w:rsidP="00C15874">
      <w:pPr>
        <w:pStyle w:val="BlockLine"/>
        <w:ind w:left="1620"/>
        <w:rPr>
          <w:sz w:val="20"/>
        </w:rPr>
      </w:pPr>
    </w:p>
    <w:tbl>
      <w:tblPr>
        <w:tblW w:w="10188" w:type="dxa"/>
        <w:tblLayout w:type="fixed"/>
        <w:tblLook w:val="0000" w:firstRow="0" w:lastRow="0" w:firstColumn="0" w:lastColumn="0" w:noHBand="0" w:noVBand="0"/>
      </w:tblPr>
      <w:tblGrid>
        <w:gridCol w:w="1728"/>
        <w:gridCol w:w="8460"/>
      </w:tblGrid>
      <w:tr w:rsidR="00C15874" w:rsidTr="003A200B">
        <w:tblPrEx>
          <w:tblCellMar>
            <w:top w:w="0" w:type="dxa"/>
            <w:bottom w:w="0" w:type="dxa"/>
          </w:tblCellMar>
        </w:tblPrEx>
        <w:trPr>
          <w:cantSplit/>
        </w:trPr>
        <w:tc>
          <w:tcPr>
            <w:tcW w:w="1728" w:type="dxa"/>
          </w:tcPr>
          <w:p w:rsidR="00C15874" w:rsidRDefault="00C145B5" w:rsidP="00C145B5">
            <w:pPr>
              <w:pStyle w:val="Heading5"/>
            </w:pPr>
            <w:r>
              <w:t>How to Process In Cardinal</w:t>
            </w:r>
          </w:p>
        </w:tc>
        <w:tc>
          <w:tcPr>
            <w:tcW w:w="8460" w:type="dxa"/>
          </w:tcPr>
          <w:p w:rsidR="007D062F" w:rsidRDefault="007D062F" w:rsidP="007D062F">
            <w:r>
              <w:t xml:space="preserve">Agencies with third party garnishment checks that have to be divided between the creditor and employee should follow these steps to process in Cardinal.  </w:t>
            </w:r>
          </w:p>
          <w:p w:rsidR="007D062F" w:rsidRDefault="007D062F" w:rsidP="007D062F"/>
          <w:p w:rsidR="007D062F" w:rsidRPr="007D062F" w:rsidRDefault="007D062F" w:rsidP="007D062F">
            <w:pPr>
              <w:numPr>
                <w:ilvl w:val="0"/>
                <w:numId w:val="3"/>
              </w:numPr>
              <w:ind w:left="522"/>
              <w:rPr>
                <w:szCs w:val="24"/>
              </w:rPr>
            </w:pPr>
            <w:r>
              <w:t xml:space="preserve">Deposit the check to the Treasurer of Virginia and record the deposit in Cardinal using Accounts Receivable.  Treat the deposit as a credit to the employee’s expenditure account using the programmatic data from CIPPS.  </w:t>
            </w:r>
          </w:p>
          <w:p w:rsidR="007D062F" w:rsidRPr="007D062F" w:rsidRDefault="007D062F" w:rsidP="007D062F">
            <w:pPr>
              <w:numPr>
                <w:ilvl w:val="0"/>
                <w:numId w:val="3"/>
              </w:numPr>
              <w:ind w:left="522"/>
              <w:rPr>
                <w:szCs w:val="24"/>
              </w:rPr>
            </w:pPr>
            <w:r>
              <w:t>Produce a payment in the proper amount owed to the creditor using the Cardinal Accounts Payable voucher function.   You will need to send a vendor maintenance form to the CVG to request set up of the creditor if they are not in Cardinal alread</w:t>
            </w:r>
            <w:r>
              <w:rPr>
                <w:color w:val="1F497D"/>
              </w:rPr>
              <w:t>y</w:t>
            </w:r>
            <w:r>
              <w:t>, but the creditor can be added as a one-time vendor without knowing the FEIN.</w:t>
            </w:r>
          </w:p>
          <w:p w:rsidR="00C15874" w:rsidRPr="00C61BA4" w:rsidRDefault="007D062F" w:rsidP="007D062F">
            <w:pPr>
              <w:numPr>
                <w:ilvl w:val="0"/>
                <w:numId w:val="3"/>
              </w:numPr>
              <w:ind w:left="522"/>
              <w:rPr>
                <w:szCs w:val="24"/>
              </w:rPr>
            </w:pPr>
            <w:r>
              <w:t xml:space="preserve">Produce a payment for the balance owed to the employee using the Cardinal Expense Report function as described in the Employee Payments section above.  </w:t>
            </w:r>
            <w:r w:rsidR="00C45B23" w:rsidRPr="00C61BA4">
              <w:rPr>
                <w:bCs/>
                <w:szCs w:val="24"/>
              </w:rPr>
              <w:t>When completing the Expense Report be sure to use an expense type of “Other Employee Reimbursement.”</w:t>
            </w:r>
            <w:r w:rsidR="00C45B23">
              <w:rPr>
                <w:bCs/>
                <w:szCs w:val="24"/>
              </w:rPr>
              <w:t xml:space="preserve"> </w:t>
            </w:r>
            <w:r w:rsidR="00C45B23" w:rsidRPr="00C61BA4">
              <w:rPr>
                <w:bCs/>
                <w:szCs w:val="24"/>
              </w:rPr>
              <w:t xml:space="preserve">Please be sure to update the ChartFields on the Expense </w:t>
            </w:r>
            <w:r w:rsidR="00C45B23">
              <w:rPr>
                <w:bCs/>
                <w:szCs w:val="24"/>
              </w:rPr>
              <w:t>R</w:t>
            </w:r>
            <w:r w:rsidR="00C45B23" w:rsidRPr="00C61BA4">
              <w:rPr>
                <w:bCs/>
                <w:szCs w:val="24"/>
              </w:rPr>
              <w:t>eport to match the deposit where the funds were returned.</w:t>
            </w:r>
          </w:p>
        </w:tc>
      </w:tr>
    </w:tbl>
    <w:p w:rsidR="00C15874" w:rsidRPr="007700AC" w:rsidRDefault="00C15874" w:rsidP="00C15874">
      <w:pPr>
        <w:pStyle w:val="BlockLine"/>
        <w:ind w:left="1620"/>
        <w:rPr>
          <w:szCs w:val="24"/>
        </w:rPr>
      </w:pPr>
      <w:r>
        <w:t xml:space="preserve"> </w:t>
      </w:r>
    </w:p>
    <w:p w:rsidR="00404F89" w:rsidRPr="001E0E97" w:rsidRDefault="00404F89" w:rsidP="00404F89">
      <w:pPr>
        <w:pStyle w:val="Heading4"/>
        <w:spacing w:after="0"/>
        <w:rPr>
          <w:rFonts w:ascii="Times New Roman" w:hAnsi="Times New Roman"/>
          <w:b/>
          <w:sz w:val="20"/>
        </w:rPr>
      </w:pPr>
      <w:r>
        <w:rPr>
          <w:rFonts w:ascii="Times New Roman" w:hAnsi="Times New Roman"/>
          <w:b/>
          <w:sz w:val="28"/>
          <w:szCs w:val="28"/>
        </w:rPr>
        <w:t xml:space="preserve">Health Insurance </w:t>
      </w:r>
      <w:r w:rsidR="00C61BA4">
        <w:rPr>
          <w:rFonts w:ascii="Times New Roman" w:hAnsi="Times New Roman"/>
          <w:b/>
          <w:sz w:val="28"/>
          <w:szCs w:val="28"/>
        </w:rPr>
        <w:t>Dedicated Email Address</w:t>
      </w:r>
    </w:p>
    <w:p w:rsidR="00404F89" w:rsidRPr="00C50FDD" w:rsidRDefault="00404F89" w:rsidP="00404F89">
      <w:pPr>
        <w:pStyle w:val="BlockLine"/>
        <w:ind w:left="1620"/>
        <w:rPr>
          <w:sz w:val="16"/>
          <w:szCs w:val="16"/>
        </w:rPr>
      </w:pPr>
    </w:p>
    <w:tbl>
      <w:tblPr>
        <w:tblW w:w="10188" w:type="dxa"/>
        <w:tblLayout w:type="fixed"/>
        <w:tblLook w:val="0000" w:firstRow="0" w:lastRow="0" w:firstColumn="0" w:lastColumn="0" w:noHBand="0" w:noVBand="0"/>
      </w:tblPr>
      <w:tblGrid>
        <w:gridCol w:w="1728"/>
        <w:gridCol w:w="8460"/>
      </w:tblGrid>
      <w:tr w:rsidR="00404F89" w:rsidTr="00C145B5">
        <w:tblPrEx>
          <w:tblCellMar>
            <w:top w:w="0" w:type="dxa"/>
            <w:bottom w:w="0" w:type="dxa"/>
          </w:tblCellMar>
        </w:tblPrEx>
        <w:trPr>
          <w:cantSplit/>
        </w:trPr>
        <w:tc>
          <w:tcPr>
            <w:tcW w:w="1728" w:type="dxa"/>
          </w:tcPr>
          <w:p w:rsidR="00404F89" w:rsidRDefault="001E0E97" w:rsidP="00E16562">
            <w:pPr>
              <w:pStyle w:val="Heading5"/>
            </w:pPr>
            <w:r>
              <w:t>Corrected</w:t>
            </w:r>
            <w:r w:rsidR="00404F89">
              <w:t xml:space="preserve"> Email Address</w:t>
            </w:r>
          </w:p>
        </w:tc>
        <w:tc>
          <w:tcPr>
            <w:tcW w:w="8460" w:type="dxa"/>
          </w:tcPr>
          <w:p w:rsidR="00BA56B9" w:rsidRDefault="00C61BA4" w:rsidP="00E16562">
            <w:pPr>
              <w:ind w:left="162"/>
              <w:rPr>
                <w:color w:val="000000"/>
              </w:rPr>
            </w:pPr>
            <w:r>
              <w:rPr>
                <w:color w:val="000000"/>
              </w:rPr>
              <w:t xml:space="preserve">ATA files </w:t>
            </w:r>
            <w:r w:rsidR="001E0E97">
              <w:rPr>
                <w:color w:val="000000"/>
              </w:rPr>
              <w:t xml:space="preserve">for Health Insurance reconciliations </w:t>
            </w:r>
            <w:r>
              <w:rPr>
                <w:color w:val="000000"/>
              </w:rPr>
              <w:t>should be sent to this address:</w:t>
            </w:r>
          </w:p>
          <w:p w:rsidR="00C61BA4" w:rsidRPr="00910CED" w:rsidRDefault="00C61BA4" w:rsidP="00E16562">
            <w:pPr>
              <w:ind w:left="162"/>
              <w:rPr>
                <w:color w:val="000000"/>
                <w:sz w:val="16"/>
                <w:szCs w:val="16"/>
              </w:rPr>
            </w:pPr>
          </w:p>
          <w:p w:rsidR="00404F89" w:rsidRPr="001E0E97" w:rsidRDefault="00993D45" w:rsidP="001E0E97">
            <w:pPr>
              <w:ind w:left="162"/>
              <w:rPr>
                <w:color w:val="000000"/>
              </w:rPr>
            </w:pPr>
            <w:hyperlink r:id="rId13" w:history="1">
              <w:r w:rsidRPr="000E57C9">
                <w:rPr>
                  <w:rStyle w:val="Hyperlink"/>
                </w:rPr>
                <w:t>HealthRecons@doa.virginia.gov</w:t>
              </w:r>
            </w:hyperlink>
          </w:p>
        </w:tc>
      </w:tr>
    </w:tbl>
    <w:p w:rsidR="0078110A" w:rsidRDefault="0078110A" w:rsidP="0078110A">
      <w:pPr>
        <w:tabs>
          <w:tab w:val="left" w:pos="990"/>
        </w:tabs>
      </w:pPr>
    </w:p>
    <w:sectPr w:rsidR="0078110A" w:rsidSect="001E0E97">
      <w:headerReference w:type="default" r:id="rId14"/>
      <w:footerReference w:type="default" r:id="rId15"/>
      <w:pgSz w:w="12240" w:h="15840" w:code="1"/>
      <w:pgMar w:top="720" w:right="1152" w:bottom="360" w:left="1152" w:header="288"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3B" w:rsidRDefault="00A0083B">
      <w:r>
        <w:separator/>
      </w:r>
    </w:p>
  </w:endnote>
  <w:endnote w:type="continuationSeparator" w:id="0">
    <w:p w:rsidR="00A0083B" w:rsidRDefault="00A0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6DF" w:rsidRDefault="00B136DF" w:rsidP="00DD1147">
    <w:pPr>
      <w:pStyle w:val="Footer"/>
      <w:pBdr>
        <w:top w:val="single" w:sz="6" w:space="0" w:color="auto"/>
      </w:pBdr>
      <w:tabs>
        <w:tab w:val="clear" w:pos="4320"/>
        <w:tab w:val="clear" w:pos="8640"/>
        <w:tab w:val="left" w:pos="5940"/>
      </w:tabs>
      <w:ind w:right="-414"/>
      <w:jc w:val="center"/>
      <w:rPr>
        <w:i/>
        <w:snapToGrid w:val="0"/>
        <w:sz w:val="22"/>
      </w:rPr>
    </w:pPr>
    <w:r>
      <w:rPr>
        <w:i/>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E478A3">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478A3">
      <w:rPr>
        <w:rStyle w:val="PageNumber"/>
        <w:noProof/>
      </w:rPr>
      <w:t>2</w:t>
    </w:r>
    <w:r>
      <w:rPr>
        <w:rStyle w:val="PageNumber"/>
      </w:rPr>
      <w:fldChar w:fldCharType="end"/>
    </w:r>
  </w:p>
  <w:p w:rsidR="00B136DF" w:rsidRPr="009F7AFD" w:rsidRDefault="00B136DF" w:rsidP="001E0E97">
    <w:pPr>
      <w:pStyle w:val="NormalWeb"/>
      <w:jc w:val="center"/>
      <w:rPr>
        <w:snapToGrid w:val="0"/>
      </w:rPr>
    </w:pPr>
    <w:hyperlink r:id="rId1" w:tooltip="http://www.doa.virginia.gov/Payroll/Payroll_Bulletins/Payroll_Bulletins_Main.cfm" w:history="1">
      <w:r>
        <w:rPr>
          <w:rStyle w:val="Hyperlink"/>
          <w:i/>
          <w:iCs/>
          <w:snapToGrid w:val="0"/>
          <w:sz w:val="22"/>
          <w:szCs w:val="20"/>
        </w:rPr>
        <w:t>http://www.doa.virginia.gov/Payroll/Payroll_Bulletins/Payroll_Bulletins_Main.cfm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3B" w:rsidRDefault="00A0083B">
      <w:r>
        <w:separator/>
      </w:r>
    </w:p>
  </w:footnote>
  <w:footnote w:type="continuationSeparator" w:id="0">
    <w:p w:rsidR="00A0083B" w:rsidRDefault="00A00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6DF" w:rsidRDefault="00B136DF" w:rsidP="00B97E16"/>
  <w:tbl>
    <w:tblPr>
      <w:tblW w:w="10188" w:type="dxa"/>
      <w:tblLayout w:type="fixed"/>
      <w:tblLook w:val="0000" w:firstRow="0" w:lastRow="0" w:firstColumn="0" w:lastColumn="0" w:noHBand="0" w:noVBand="0"/>
    </w:tblPr>
    <w:tblGrid>
      <w:gridCol w:w="3366"/>
      <w:gridCol w:w="3366"/>
      <w:gridCol w:w="3456"/>
    </w:tblGrid>
    <w:tr w:rsidR="00B136DF" w:rsidTr="00457EE5">
      <w:tblPrEx>
        <w:tblCellMar>
          <w:top w:w="0" w:type="dxa"/>
          <w:bottom w:w="0" w:type="dxa"/>
        </w:tblCellMar>
      </w:tblPrEx>
      <w:trPr>
        <w:cantSplit/>
      </w:trPr>
      <w:tc>
        <w:tcPr>
          <w:tcW w:w="3366" w:type="dxa"/>
          <w:tcBorders>
            <w:bottom w:val="double" w:sz="6" w:space="0" w:color="auto"/>
          </w:tcBorders>
        </w:tcPr>
        <w:p w:rsidR="00B136DF" w:rsidRDefault="00B136DF" w:rsidP="006B618E">
          <w:pPr>
            <w:pStyle w:val="Header"/>
            <w:rPr>
              <w:b/>
              <w:sz w:val="20"/>
            </w:rPr>
          </w:pPr>
          <w:r>
            <w:rPr>
              <w:b/>
              <w:sz w:val="20"/>
            </w:rPr>
            <w:t>Calendar Year 2016</w:t>
          </w:r>
        </w:p>
      </w:tc>
      <w:tc>
        <w:tcPr>
          <w:tcW w:w="3366" w:type="dxa"/>
          <w:tcBorders>
            <w:bottom w:val="double" w:sz="6" w:space="0" w:color="auto"/>
          </w:tcBorders>
        </w:tcPr>
        <w:p w:rsidR="00B136DF" w:rsidRDefault="00B136DF" w:rsidP="004A70E4">
          <w:pPr>
            <w:pStyle w:val="Header"/>
            <w:jc w:val="center"/>
            <w:rPr>
              <w:b/>
              <w:sz w:val="20"/>
            </w:rPr>
          </w:pPr>
          <w:r>
            <w:rPr>
              <w:b/>
              <w:sz w:val="20"/>
            </w:rPr>
            <w:t xml:space="preserve">March </w:t>
          </w:r>
          <w:r w:rsidR="004A70E4">
            <w:rPr>
              <w:b/>
              <w:sz w:val="20"/>
            </w:rPr>
            <w:t>14</w:t>
          </w:r>
          <w:r>
            <w:rPr>
              <w:b/>
              <w:sz w:val="20"/>
            </w:rPr>
            <w:t>, 201</w:t>
          </w:r>
          <w:r w:rsidR="004A70E4">
            <w:rPr>
              <w:b/>
              <w:sz w:val="20"/>
            </w:rPr>
            <w:t>6</w:t>
          </w:r>
        </w:p>
      </w:tc>
      <w:tc>
        <w:tcPr>
          <w:tcW w:w="3456" w:type="dxa"/>
          <w:tcBorders>
            <w:bottom w:val="double" w:sz="6" w:space="0" w:color="auto"/>
          </w:tcBorders>
        </w:tcPr>
        <w:p w:rsidR="00B136DF" w:rsidRDefault="00B136DF" w:rsidP="004A70E4">
          <w:pPr>
            <w:pStyle w:val="Header"/>
            <w:jc w:val="right"/>
            <w:rPr>
              <w:b/>
              <w:sz w:val="20"/>
            </w:rPr>
          </w:pPr>
          <w:r>
            <w:rPr>
              <w:b/>
              <w:sz w:val="20"/>
            </w:rPr>
            <w:t>Volume 2016-</w:t>
          </w:r>
          <w:r w:rsidR="004A70E4">
            <w:rPr>
              <w:b/>
              <w:sz w:val="20"/>
            </w:rPr>
            <w:t>02</w:t>
          </w:r>
        </w:p>
      </w:tc>
    </w:tr>
  </w:tbl>
  <w:p w:rsidR="00B136DF" w:rsidRDefault="00B136DF" w:rsidP="00B97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D2CC4"/>
    <w:multiLevelType w:val="hybridMultilevel"/>
    <w:tmpl w:val="43104E8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C78"/>
    <w:rsid w:val="00001EE2"/>
    <w:rsid w:val="0000308D"/>
    <w:rsid w:val="000134A3"/>
    <w:rsid w:val="000229A0"/>
    <w:rsid w:val="000248B8"/>
    <w:rsid w:val="00031810"/>
    <w:rsid w:val="00045E51"/>
    <w:rsid w:val="00051F41"/>
    <w:rsid w:val="00053D2A"/>
    <w:rsid w:val="00082B31"/>
    <w:rsid w:val="00090054"/>
    <w:rsid w:val="000A3E0D"/>
    <w:rsid w:val="000B4932"/>
    <w:rsid w:val="000D0C78"/>
    <w:rsid w:val="000E4259"/>
    <w:rsid w:val="000F6DE8"/>
    <w:rsid w:val="00107440"/>
    <w:rsid w:val="00111132"/>
    <w:rsid w:val="00123B03"/>
    <w:rsid w:val="001434D8"/>
    <w:rsid w:val="001466D1"/>
    <w:rsid w:val="00166819"/>
    <w:rsid w:val="0017285D"/>
    <w:rsid w:val="00176083"/>
    <w:rsid w:val="00176AD2"/>
    <w:rsid w:val="00177EA1"/>
    <w:rsid w:val="0019385E"/>
    <w:rsid w:val="001952D4"/>
    <w:rsid w:val="001A2715"/>
    <w:rsid w:val="001A3EA1"/>
    <w:rsid w:val="001B21AB"/>
    <w:rsid w:val="001B31CA"/>
    <w:rsid w:val="001C3B20"/>
    <w:rsid w:val="001C416E"/>
    <w:rsid w:val="001C6B3E"/>
    <w:rsid w:val="001E07BF"/>
    <w:rsid w:val="001E0E97"/>
    <w:rsid w:val="001E47DD"/>
    <w:rsid w:val="001E5C91"/>
    <w:rsid w:val="001E676B"/>
    <w:rsid w:val="001F28FA"/>
    <w:rsid w:val="001F423F"/>
    <w:rsid w:val="002066D8"/>
    <w:rsid w:val="0021385E"/>
    <w:rsid w:val="002244EF"/>
    <w:rsid w:val="00224F21"/>
    <w:rsid w:val="00225F15"/>
    <w:rsid w:val="00246724"/>
    <w:rsid w:val="00251987"/>
    <w:rsid w:val="00254C18"/>
    <w:rsid w:val="00282FE5"/>
    <w:rsid w:val="002875BF"/>
    <w:rsid w:val="00292042"/>
    <w:rsid w:val="002A149C"/>
    <w:rsid w:val="002B46AD"/>
    <w:rsid w:val="002B69A0"/>
    <w:rsid w:val="002B7654"/>
    <w:rsid w:val="002C02CC"/>
    <w:rsid w:val="002C1D7B"/>
    <w:rsid w:val="002D161B"/>
    <w:rsid w:val="002D27FC"/>
    <w:rsid w:val="002D399D"/>
    <w:rsid w:val="002E31ED"/>
    <w:rsid w:val="002F385B"/>
    <w:rsid w:val="002F7B7E"/>
    <w:rsid w:val="00312378"/>
    <w:rsid w:val="00315DB1"/>
    <w:rsid w:val="00324E82"/>
    <w:rsid w:val="00340826"/>
    <w:rsid w:val="00351CE2"/>
    <w:rsid w:val="00355280"/>
    <w:rsid w:val="003667F5"/>
    <w:rsid w:val="00374067"/>
    <w:rsid w:val="00385A63"/>
    <w:rsid w:val="00387A2A"/>
    <w:rsid w:val="00390FC5"/>
    <w:rsid w:val="003979FE"/>
    <w:rsid w:val="003A1D48"/>
    <w:rsid w:val="003A200B"/>
    <w:rsid w:val="003A2239"/>
    <w:rsid w:val="003B09C4"/>
    <w:rsid w:val="003B1670"/>
    <w:rsid w:val="003D3258"/>
    <w:rsid w:val="003D56A6"/>
    <w:rsid w:val="003E008A"/>
    <w:rsid w:val="003E0493"/>
    <w:rsid w:val="003E202C"/>
    <w:rsid w:val="00404F89"/>
    <w:rsid w:val="00406F86"/>
    <w:rsid w:val="00415425"/>
    <w:rsid w:val="00430920"/>
    <w:rsid w:val="0044520A"/>
    <w:rsid w:val="004520E7"/>
    <w:rsid w:val="00457EE5"/>
    <w:rsid w:val="00466E69"/>
    <w:rsid w:val="0047681B"/>
    <w:rsid w:val="004836BB"/>
    <w:rsid w:val="00486725"/>
    <w:rsid w:val="004A70E4"/>
    <w:rsid w:val="004A715D"/>
    <w:rsid w:val="004D774C"/>
    <w:rsid w:val="004E7B9F"/>
    <w:rsid w:val="004F162A"/>
    <w:rsid w:val="004F41D9"/>
    <w:rsid w:val="0050233B"/>
    <w:rsid w:val="00505A5C"/>
    <w:rsid w:val="00534889"/>
    <w:rsid w:val="00545EED"/>
    <w:rsid w:val="0056085F"/>
    <w:rsid w:val="00562AD7"/>
    <w:rsid w:val="00564691"/>
    <w:rsid w:val="00565BF7"/>
    <w:rsid w:val="005668A2"/>
    <w:rsid w:val="0057239D"/>
    <w:rsid w:val="00575ECA"/>
    <w:rsid w:val="00580CFE"/>
    <w:rsid w:val="0059219E"/>
    <w:rsid w:val="005C1612"/>
    <w:rsid w:val="005C2403"/>
    <w:rsid w:val="005D6F7B"/>
    <w:rsid w:val="005F1589"/>
    <w:rsid w:val="005F27CC"/>
    <w:rsid w:val="005F4969"/>
    <w:rsid w:val="006053B8"/>
    <w:rsid w:val="00612422"/>
    <w:rsid w:val="0062377A"/>
    <w:rsid w:val="00624F5A"/>
    <w:rsid w:val="00640BB1"/>
    <w:rsid w:val="00654A74"/>
    <w:rsid w:val="00654A9F"/>
    <w:rsid w:val="00674030"/>
    <w:rsid w:val="0068029E"/>
    <w:rsid w:val="0068152E"/>
    <w:rsid w:val="00686D94"/>
    <w:rsid w:val="0069030B"/>
    <w:rsid w:val="006B03F2"/>
    <w:rsid w:val="006B1547"/>
    <w:rsid w:val="006B24C0"/>
    <w:rsid w:val="006B618E"/>
    <w:rsid w:val="006B7109"/>
    <w:rsid w:val="006C784B"/>
    <w:rsid w:val="006D39A3"/>
    <w:rsid w:val="00717F70"/>
    <w:rsid w:val="00747E3C"/>
    <w:rsid w:val="00757BFB"/>
    <w:rsid w:val="0076076E"/>
    <w:rsid w:val="007667FA"/>
    <w:rsid w:val="007700AC"/>
    <w:rsid w:val="007750D1"/>
    <w:rsid w:val="0078110A"/>
    <w:rsid w:val="007827BB"/>
    <w:rsid w:val="0079072D"/>
    <w:rsid w:val="007929BD"/>
    <w:rsid w:val="007A4B30"/>
    <w:rsid w:val="007C28D4"/>
    <w:rsid w:val="007D0028"/>
    <w:rsid w:val="007D062F"/>
    <w:rsid w:val="007E162F"/>
    <w:rsid w:val="007F51A7"/>
    <w:rsid w:val="00801B20"/>
    <w:rsid w:val="00805277"/>
    <w:rsid w:val="00836D7F"/>
    <w:rsid w:val="00863351"/>
    <w:rsid w:val="00872A79"/>
    <w:rsid w:val="008948EA"/>
    <w:rsid w:val="0089615E"/>
    <w:rsid w:val="008A2DD0"/>
    <w:rsid w:val="008C29E8"/>
    <w:rsid w:val="008D4AF2"/>
    <w:rsid w:val="00910CED"/>
    <w:rsid w:val="009219E7"/>
    <w:rsid w:val="00924138"/>
    <w:rsid w:val="00930697"/>
    <w:rsid w:val="00946516"/>
    <w:rsid w:val="00946E65"/>
    <w:rsid w:val="009601E3"/>
    <w:rsid w:val="0096689D"/>
    <w:rsid w:val="00974C38"/>
    <w:rsid w:val="00976C71"/>
    <w:rsid w:val="009850AB"/>
    <w:rsid w:val="00986722"/>
    <w:rsid w:val="00993D45"/>
    <w:rsid w:val="00993D57"/>
    <w:rsid w:val="009B1406"/>
    <w:rsid w:val="009D3989"/>
    <w:rsid w:val="009D5435"/>
    <w:rsid w:val="009D7831"/>
    <w:rsid w:val="009E088A"/>
    <w:rsid w:val="009E564C"/>
    <w:rsid w:val="009E6D2D"/>
    <w:rsid w:val="009E7D09"/>
    <w:rsid w:val="009F6827"/>
    <w:rsid w:val="009F750F"/>
    <w:rsid w:val="009F766D"/>
    <w:rsid w:val="009F7AFD"/>
    <w:rsid w:val="009F7CC0"/>
    <w:rsid w:val="00A0083B"/>
    <w:rsid w:val="00A16CA0"/>
    <w:rsid w:val="00A263A1"/>
    <w:rsid w:val="00A317F9"/>
    <w:rsid w:val="00A43F6D"/>
    <w:rsid w:val="00A4564F"/>
    <w:rsid w:val="00A652B4"/>
    <w:rsid w:val="00A67421"/>
    <w:rsid w:val="00A72FF9"/>
    <w:rsid w:val="00A80AA5"/>
    <w:rsid w:val="00A850F9"/>
    <w:rsid w:val="00AD04D6"/>
    <w:rsid w:val="00AD4C12"/>
    <w:rsid w:val="00AE0F14"/>
    <w:rsid w:val="00AF0AE9"/>
    <w:rsid w:val="00B00010"/>
    <w:rsid w:val="00B001A0"/>
    <w:rsid w:val="00B016C2"/>
    <w:rsid w:val="00B03090"/>
    <w:rsid w:val="00B11532"/>
    <w:rsid w:val="00B136DF"/>
    <w:rsid w:val="00B14904"/>
    <w:rsid w:val="00B17AF8"/>
    <w:rsid w:val="00B20211"/>
    <w:rsid w:val="00B339F6"/>
    <w:rsid w:val="00B40828"/>
    <w:rsid w:val="00B40842"/>
    <w:rsid w:val="00B54594"/>
    <w:rsid w:val="00B622C3"/>
    <w:rsid w:val="00B77999"/>
    <w:rsid w:val="00B87D23"/>
    <w:rsid w:val="00B900DE"/>
    <w:rsid w:val="00B92EAE"/>
    <w:rsid w:val="00B97E16"/>
    <w:rsid w:val="00BA56B9"/>
    <w:rsid w:val="00BA6BD8"/>
    <w:rsid w:val="00BC16C7"/>
    <w:rsid w:val="00BC5E04"/>
    <w:rsid w:val="00BD43E3"/>
    <w:rsid w:val="00C033C7"/>
    <w:rsid w:val="00C07D38"/>
    <w:rsid w:val="00C120F3"/>
    <w:rsid w:val="00C145B5"/>
    <w:rsid w:val="00C155D5"/>
    <w:rsid w:val="00C15874"/>
    <w:rsid w:val="00C30F8D"/>
    <w:rsid w:val="00C3769E"/>
    <w:rsid w:val="00C45B23"/>
    <w:rsid w:val="00C50FDD"/>
    <w:rsid w:val="00C52E20"/>
    <w:rsid w:val="00C61BA4"/>
    <w:rsid w:val="00C90D0F"/>
    <w:rsid w:val="00C91E35"/>
    <w:rsid w:val="00CA60F6"/>
    <w:rsid w:val="00CB6BD9"/>
    <w:rsid w:val="00CC05AC"/>
    <w:rsid w:val="00CC26E6"/>
    <w:rsid w:val="00CC79DD"/>
    <w:rsid w:val="00CD3AC2"/>
    <w:rsid w:val="00CE5E54"/>
    <w:rsid w:val="00CF4033"/>
    <w:rsid w:val="00CF5444"/>
    <w:rsid w:val="00CF740F"/>
    <w:rsid w:val="00D1529F"/>
    <w:rsid w:val="00D222BD"/>
    <w:rsid w:val="00D40EFC"/>
    <w:rsid w:val="00D44A6C"/>
    <w:rsid w:val="00D65654"/>
    <w:rsid w:val="00D70C43"/>
    <w:rsid w:val="00D91CF8"/>
    <w:rsid w:val="00D925A8"/>
    <w:rsid w:val="00D96E2A"/>
    <w:rsid w:val="00D97801"/>
    <w:rsid w:val="00DB0B3E"/>
    <w:rsid w:val="00DB6C7D"/>
    <w:rsid w:val="00DC4EBA"/>
    <w:rsid w:val="00DD1147"/>
    <w:rsid w:val="00DE4CEE"/>
    <w:rsid w:val="00E02CD9"/>
    <w:rsid w:val="00E04427"/>
    <w:rsid w:val="00E11CBF"/>
    <w:rsid w:val="00E16562"/>
    <w:rsid w:val="00E2451F"/>
    <w:rsid w:val="00E30565"/>
    <w:rsid w:val="00E478A3"/>
    <w:rsid w:val="00E834E5"/>
    <w:rsid w:val="00E97CB7"/>
    <w:rsid w:val="00EA6F19"/>
    <w:rsid w:val="00EB6181"/>
    <w:rsid w:val="00EB6D2F"/>
    <w:rsid w:val="00ED247F"/>
    <w:rsid w:val="00EE2DCF"/>
    <w:rsid w:val="00EE48EE"/>
    <w:rsid w:val="00EF26A6"/>
    <w:rsid w:val="00F04298"/>
    <w:rsid w:val="00F04E94"/>
    <w:rsid w:val="00F20AC6"/>
    <w:rsid w:val="00F22B94"/>
    <w:rsid w:val="00F2394F"/>
    <w:rsid w:val="00F3320E"/>
    <w:rsid w:val="00F342E2"/>
    <w:rsid w:val="00F34A52"/>
    <w:rsid w:val="00F412C0"/>
    <w:rsid w:val="00F43DB3"/>
    <w:rsid w:val="00F44D1A"/>
    <w:rsid w:val="00F45A7B"/>
    <w:rsid w:val="00F64A4D"/>
    <w:rsid w:val="00F9185B"/>
    <w:rsid w:val="00F92BE9"/>
    <w:rsid w:val="00F94FAF"/>
    <w:rsid w:val="00FA1E98"/>
    <w:rsid w:val="00FA4CF0"/>
    <w:rsid w:val="00FA65B1"/>
    <w:rsid w:val="00FA7A22"/>
    <w:rsid w:val="00FB4EFD"/>
    <w:rsid w:val="00FC2129"/>
    <w:rsid w:val="00FD1318"/>
    <w:rsid w:val="00FD2839"/>
    <w:rsid w:val="00FE69F7"/>
    <w:rsid w:val="00FE7636"/>
    <w:rsid w:val="00FF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ind w:left="187" w:hanging="187"/>
    </w:pPr>
  </w:style>
  <w:style w:type="paragraph" w:customStyle="1" w:styleId="BulletText2">
    <w:name w:val="Bullet Text 2"/>
    <w:basedOn w:val="BulletText1"/>
    <w:pPr>
      <w:ind w:left="360"/>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Heading4"/>
    <w:rsid w:val="0069030B"/>
    <w:rPr>
      <w:b/>
      <w:sz w:val="32"/>
    </w:rPr>
  </w:style>
  <w:style w:type="paragraph" w:customStyle="1" w:styleId="MapTitleContinued">
    <w:name w:val="Map Title. Continued"/>
    <w:basedOn w:val="Normal"/>
    <w:pPr>
      <w:spacing w:after="240"/>
    </w:pPr>
    <w:rPr>
      <w:rFonts w:ascii="Helvetica" w:hAnsi="Helvetica"/>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semiHidden/>
    <w:pPr>
      <w:tabs>
        <w:tab w:val="right" w:leader="dot" w:pos="10800"/>
      </w:tabs>
    </w:pPr>
  </w:style>
  <w:style w:type="paragraph" w:styleId="TOC2">
    <w:name w:val="toc 2"/>
    <w:basedOn w:val="Normal"/>
    <w:next w:val="Normal"/>
    <w:semiHidden/>
    <w:pPr>
      <w:tabs>
        <w:tab w:val="right" w:leader="dot" w:pos="10800"/>
      </w:tabs>
      <w:ind w:left="240"/>
    </w:pPr>
  </w:style>
  <w:style w:type="paragraph" w:styleId="BodyText3">
    <w:name w:val="Body Text 3"/>
    <w:basedOn w:val="Normal"/>
    <w:rPr>
      <w:b/>
      <w:sz w:val="18"/>
    </w:rPr>
  </w:style>
  <w:style w:type="paragraph" w:styleId="BodyText2">
    <w:name w:val="Body Text 2"/>
    <w:basedOn w:val="Normal"/>
    <w:rPr>
      <w:b/>
      <w:sz w:val="16"/>
    </w:rPr>
  </w:style>
  <w:style w:type="paragraph" w:styleId="Title">
    <w:name w:val="Title"/>
    <w:basedOn w:val="Normal"/>
    <w:qFormat/>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rPr>
      <w:color w:val="0000FF"/>
      <w:u w:val="single"/>
    </w:rPr>
  </w:style>
  <w:style w:type="paragraph" w:customStyle="1" w:styleId="Extmemo">
    <w:name w:val="Extmemo"/>
    <w:basedOn w:val="Normal"/>
    <w:pPr>
      <w:spacing w:line="240" w:lineRule="exact"/>
    </w:pPr>
    <w:rPr>
      <w:rFonts w:ascii="Times" w:hAnsi="Times"/>
    </w:rPr>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D3AC2"/>
    <w:pPr>
      <w:spacing w:before="100" w:beforeAutospacing="1" w:after="100" w:afterAutospacing="1"/>
    </w:pPr>
    <w:rPr>
      <w:szCs w:val="24"/>
    </w:rPr>
  </w:style>
  <w:style w:type="character" w:styleId="Emphasis">
    <w:name w:val="Emphasis"/>
    <w:qFormat/>
    <w:rsid w:val="00CD3AC2"/>
    <w:rPr>
      <w:i/>
      <w:iCs/>
    </w:rPr>
  </w:style>
  <w:style w:type="paragraph" w:styleId="NoSpacing">
    <w:name w:val="No Spacing"/>
    <w:basedOn w:val="Normal"/>
    <w:uiPriority w:val="1"/>
    <w:qFormat/>
    <w:rsid w:val="002B69A0"/>
    <w:rPr>
      <w:rFonts w:ascii="Calibri" w:eastAsia="Calibri" w:hAnsi="Calibri"/>
      <w:sz w:val="22"/>
      <w:szCs w:val="22"/>
    </w:rPr>
  </w:style>
  <w:style w:type="character" w:styleId="CommentReference">
    <w:name w:val="annotation reference"/>
    <w:uiPriority w:val="99"/>
    <w:unhideWhenUsed/>
    <w:rsid w:val="00C61BA4"/>
    <w:rPr>
      <w:sz w:val="16"/>
      <w:szCs w:val="16"/>
    </w:rPr>
  </w:style>
  <w:style w:type="paragraph" w:styleId="CommentText">
    <w:name w:val="annotation text"/>
    <w:basedOn w:val="Normal"/>
    <w:link w:val="CommentTextChar"/>
    <w:uiPriority w:val="99"/>
    <w:unhideWhenUsed/>
    <w:rsid w:val="00C61BA4"/>
    <w:pPr>
      <w:spacing w:after="200"/>
    </w:pPr>
    <w:rPr>
      <w:rFonts w:ascii="Calibri" w:hAnsi="Calibri"/>
      <w:sz w:val="20"/>
    </w:rPr>
  </w:style>
  <w:style w:type="character" w:customStyle="1" w:styleId="CommentTextChar">
    <w:name w:val="Comment Text Char"/>
    <w:link w:val="CommentText"/>
    <w:uiPriority w:val="99"/>
    <w:rsid w:val="00C61BA4"/>
    <w:rPr>
      <w:rFonts w:ascii="Calibri" w:hAnsi="Calibri"/>
    </w:rPr>
  </w:style>
  <w:style w:type="paragraph" w:customStyle="1" w:styleId="Default">
    <w:name w:val="Default"/>
    <w:rsid w:val="0098672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0314">
      <w:bodyDiv w:val="1"/>
      <w:marLeft w:val="0"/>
      <w:marRight w:val="0"/>
      <w:marTop w:val="0"/>
      <w:marBottom w:val="0"/>
      <w:divBdr>
        <w:top w:val="none" w:sz="0" w:space="0" w:color="auto"/>
        <w:left w:val="none" w:sz="0" w:space="0" w:color="auto"/>
        <w:bottom w:val="none" w:sz="0" w:space="0" w:color="auto"/>
        <w:right w:val="none" w:sz="0" w:space="0" w:color="auto"/>
      </w:divBdr>
    </w:div>
    <w:div w:id="144666090">
      <w:bodyDiv w:val="1"/>
      <w:marLeft w:val="0"/>
      <w:marRight w:val="0"/>
      <w:marTop w:val="0"/>
      <w:marBottom w:val="0"/>
      <w:divBdr>
        <w:top w:val="none" w:sz="0" w:space="0" w:color="auto"/>
        <w:left w:val="none" w:sz="0" w:space="0" w:color="auto"/>
        <w:bottom w:val="none" w:sz="0" w:space="0" w:color="auto"/>
        <w:right w:val="none" w:sz="0" w:space="0" w:color="auto"/>
      </w:divBdr>
    </w:div>
    <w:div w:id="1275868786">
      <w:bodyDiv w:val="1"/>
      <w:marLeft w:val="750"/>
      <w:marRight w:val="0"/>
      <w:marTop w:val="300"/>
      <w:marBottom w:val="0"/>
      <w:divBdr>
        <w:top w:val="none" w:sz="0" w:space="0" w:color="auto"/>
        <w:left w:val="none" w:sz="0" w:space="0" w:color="auto"/>
        <w:bottom w:val="none" w:sz="0" w:space="0" w:color="auto"/>
        <w:right w:val="none" w:sz="0" w:space="0" w:color="auto"/>
      </w:divBdr>
    </w:div>
    <w:div w:id="20566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hyperlink" Target="mailto:HealthRecons@doa.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dinalproject.virginia.gov/Statewide%20Job%20Aids/Accounts_Payable/AP315A_Expense_Type_Codin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dinalproject.virginia.gov/Statewide%20Job%20Aids/Accounts_Payable/SW_AP315A_Tips_for_Enterig_Exp.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rdinalproject.virginia.gov/Statewide%20Job%20Aids/Accounts_Payable/SW%20AP316%20Creating%20and%20Updating%20an%20Employee%20Profile.pdf" TargetMode="External"/><Relationship Id="rId4" Type="http://schemas.openxmlformats.org/officeDocument/2006/relationships/settings" Target="settings.xml"/><Relationship Id="rId9" Type="http://schemas.openxmlformats.org/officeDocument/2006/relationships/hyperlink" Target="http://www.cardinalproject.virginia.gov/Statewide%20Training/AccountsPayable/SW_AP315A_Process_Emp_Exp_Online.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C964-1F6F-45DD-A4D5-4ADD6430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Payroll Bulletin</vt:lpstr>
    </vt:vector>
  </TitlesOfParts>
  <Company>Virginia Department of Accounts Payroll Operations</Company>
  <LinksUpToDate>false</LinksUpToDate>
  <CharactersWithSpaces>5038</CharactersWithSpaces>
  <SharedDoc>false</SharedDoc>
  <HLinks>
    <vt:vector size="42" baseType="variant">
      <vt:variant>
        <vt:i4>7405586</vt:i4>
      </vt:variant>
      <vt:variant>
        <vt:i4>15</vt:i4>
      </vt:variant>
      <vt:variant>
        <vt:i4>0</vt:i4>
      </vt:variant>
      <vt:variant>
        <vt:i4>5</vt:i4>
      </vt:variant>
      <vt:variant>
        <vt:lpwstr>mailto:HealthRecons@doa.virginia.gov</vt:lpwstr>
      </vt:variant>
      <vt:variant>
        <vt:lpwstr/>
      </vt:variant>
      <vt:variant>
        <vt:i4>3997794</vt:i4>
      </vt:variant>
      <vt:variant>
        <vt:i4>12</vt:i4>
      </vt:variant>
      <vt:variant>
        <vt:i4>0</vt:i4>
      </vt:variant>
      <vt:variant>
        <vt:i4>5</vt:i4>
      </vt:variant>
      <vt:variant>
        <vt:lpwstr>http://www.cardinalproject.virginia.gov/Statewide Job Aids/Accounts_Payable/AP315A_Expense_Type_Coding.pdf</vt:lpwstr>
      </vt:variant>
      <vt:variant>
        <vt:lpwstr/>
      </vt:variant>
      <vt:variant>
        <vt:i4>6881340</vt:i4>
      </vt:variant>
      <vt:variant>
        <vt:i4>9</vt:i4>
      </vt:variant>
      <vt:variant>
        <vt:i4>0</vt:i4>
      </vt:variant>
      <vt:variant>
        <vt:i4>5</vt:i4>
      </vt:variant>
      <vt:variant>
        <vt:lpwstr>http://www.cardinalproject.virginia.gov/Statewide Job Aids/Accounts_Payable/SW_AP315A_Tips_for_Enterig_Exp.pdf</vt:lpwstr>
      </vt:variant>
      <vt:variant>
        <vt:lpwstr/>
      </vt:variant>
      <vt:variant>
        <vt:i4>524342</vt:i4>
      </vt:variant>
      <vt:variant>
        <vt:i4>6</vt:i4>
      </vt:variant>
      <vt:variant>
        <vt:i4>0</vt:i4>
      </vt:variant>
      <vt:variant>
        <vt:i4>5</vt:i4>
      </vt:variant>
      <vt:variant>
        <vt:lpwstr>http://www.cardinalproject.virginia.gov/Statewide Job Aids/Accounts_Payable/SW AP316 Creating and Updating an Employee Profile.pdf</vt:lpwstr>
      </vt:variant>
      <vt:variant>
        <vt:lpwstr/>
      </vt:variant>
      <vt:variant>
        <vt:i4>6226036</vt:i4>
      </vt:variant>
      <vt:variant>
        <vt:i4>3</vt:i4>
      </vt:variant>
      <vt:variant>
        <vt:i4>0</vt:i4>
      </vt:variant>
      <vt:variant>
        <vt:i4>5</vt:i4>
      </vt:variant>
      <vt:variant>
        <vt:lpwstr>http://www.cardinalproject.virginia.gov/Statewide Training/AccountsPayable/SW_AP315A_Process_Emp_Exp_Online.pdf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2016-04</dc:title>
  <dc:subject>Payroll Bulletin 2016-04</dc:subject>
  <dc:creator>Virginia Department of Accounts</dc:creator>
  <cp:keywords>Payroll Bulletin 2016-04</cp:keywords>
  <dc:description>Payroll Bulletin 2016-04</dc:description>
  <cp:lastModifiedBy>sww59895</cp:lastModifiedBy>
  <cp:revision>2</cp:revision>
  <cp:lastPrinted>2015-08-27T18:46:00Z</cp:lastPrinted>
  <dcterms:created xsi:type="dcterms:W3CDTF">2016-03-28T15:33:00Z</dcterms:created>
  <dcterms:modified xsi:type="dcterms:W3CDTF">2016-03-28T15:33:00Z</dcterms:modified>
  <cp:category>Payroll Bulletin 2016-04</cp:category>
</cp:coreProperties>
</file>