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</w:rPr>
        <w:t>Department of Accounts</w:t>
      </w:r>
    </w:p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B20211" w:rsidRDefault="00B20211" w:rsidP="00B20211">
      <w:pPr>
        <w:pStyle w:val="Header"/>
        <w:jc w:val="center"/>
        <w:rPr>
          <w:sz w:val="16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348"/>
        <w:gridCol w:w="3366"/>
        <w:gridCol w:w="3366"/>
      </w:tblGrid>
      <w:tr w:rsidR="00B20211" w:rsidTr="007F51A7">
        <w:trPr>
          <w:cantSplit/>
        </w:trPr>
        <w:tc>
          <w:tcPr>
            <w:tcW w:w="3348" w:type="dxa"/>
            <w:tcBorders>
              <w:bottom w:val="double" w:sz="6" w:space="0" w:color="auto"/>
            </w:tcBorders>
          </w:tcPr>
          <w:p w:rsidR="00B20211" w:rsidRDefault="00B20211" w:rsidP="004F58ED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BC16C7">
              <w:rPr>
                <w:b/>
                <w:sz w:val="20"/>
              </w:rPr>
              <w:t>201</w:t>
            </w:r>
            <w:r w:rsidR="004F58ED">
              <w:rPr>
                <w:b/>
                <w:sz w:val="20"/>
              </w:rPr>
              <w:t>7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C3073A" w:rsidP="00C3073A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April 17</w:t>
            </w:r>
            <w:r w:rsidR="004F58ED">
              <w:rPr>
                <w:b/>
                <w:sz w:val="20"/>
              </w:rPr>
              <w:t>, 2017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B20211" w:rsidP="004F58ED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6B618E">
              <w:rPr>
                <w:b/>
                <w:sz w:val="20"/>
              </w:rPr>
              <w:t>201</w:t>
            </w:r>
            <w:r w:rsidR="004F58ED">
              <w:rPr>
                <w:b/>
                <w:sz w:val="20"/>
              </w:rPr>
              <w:t>7</w:t>
            </w:r>
            <w:r w:rsidR="00415425">
              <w:rPr>
                <w:b/>
                <w:sz w:val="20"/>
              </w:rPr>
              <w:t>-</w:t>
            </w:r>
            <w:r w:rsidR="004F58ED">
              <w:rPr>
                <w:b/>
                <w:sz w:val="20"/>
              </w:rPr>
              <w:t>0</w:t>
            </w:r>
            <w:r w:rsidR="00C3073A">
              <w:rPr>
                <w:b/>
                <w:sz w:val="20"/>
              </w:rPr>
              <w:t>4</w:t>
            </w:r>
          </w:p>
        </w:tc>
      </w:tr>
    </w:tbl>
    <w:p w:rsidR="00B20211" w:rsidRDefault="00B20211" w:rsidP="00B20211">
      <w:pPr>
        <w:tabs>
          <w:tab w:val="left" w:pos="990"/>
        </w:tabs>
        <w:jc w:val="center"/>
      </w:pPr>
    </w:p>
    <w:p w:rsidR="00B20211" w:rsidRDefault="00B20211" w:rsidP="00B20211">
      <w:pPr>
        <w:tabs>
          <w:tab w:val="left" w:pos="99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5"/>
        <w:gridCol w:w="4112"/>
        <w:gridCol w:w="3795"/>
      </w:tblGrid>
      <w:tr w:rsidR="00B20211" w:rsidTr="00612422">
        <w:tc>
          <w:tcPr>
            <w:tcW w:w="224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612422">
              <w:rPr>
                <w:i/>
                <w:sz w:val="32"/>
                <w:szCs w:val="32"/>
              </w:rPr>
              <w:t>In This Issue of the Payroll Bulletin…....</w:t>
            </w:r>
          </w:p>
          <w:p w:rsidR="00B20211" w:rsidRPr="00612422" w:rsidRDefault="00B20211" w:rsidP="00612422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:rsidR="009E4C7E" w:rsidRDefault="00902D90" w:rsidP="00936318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Change for Net Pay Direct Deposit</w:t>
            </w:r>
          </w:p>
          <w:p w:rsidR="00744122" w:rsidRPr="00612422" w:rsidRDefault="00744122" w:rsidP="00C3073A">
            <w:p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371-7800 or Email at </w:t>
            </w:r>
            <w:hyperlink r:id="rId9" w:history="1">
              <w:r w:rsidRPr="00612422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612422">
              <w:rPr>
                <w:sz w:val="20"/>
                <w:u w:val="single"/>
              </w:rPr>
              <w:t>State Payroll Operations</w:t>
            </w:r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b/>
                <w:sz w:val="20"/>
              </w:rPr>
              <w:t>Director                         Lora L. George</w:t>
            </w:r>
          </w:p>
          <w:p w:rsidR="00B20211" w:rsidRPr="00612422" w:rsidRDefault="00B20211" w:rsidP="009D5A6D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 w:rsidRPr="00612422">
              <w:rPr>
                <w:sz w:val="20"/>
              </w:rPr>
              <w:t>A</w:t>
            </w:r>
            <w:r w:rsidR="009D5A6D">
              <w:rPr>
                <w:sz w:val="20"/>
              </w:rPr>
              <w:t xml:space="preserve">cting </w:t>
            </w:r>
            <w:r w:rsidRPr="00612422">
              <w:rPr>
                <w:sz w:val="20"/>
              </w:rPr>
              <w:t xml:space="preserve">Director         </w:t>
            </w:r>
            <w:r w:rsidR="009D5A6D">
              <w:rPr>
                <w:sz w:val="20"/>
              </w:rPr>
              <w:t xml:space="preserve">    </w:t>
            </w:r>
            <w:r w:rsidRPr="00612422">
              <w:rPr>
                <w:sz w:val="20"/>
              </w:rPr>
              <w:t xml:space="preserve"> Cathy C. McGill</w:t>
            </w:r>
          </w:p>
        </w:tc>
      </w:tr>
    </w:tbl>
    <w:p w:rsidR="00B20211" w:rsidRPr="00C50FDD" w:rsidRDefault="00B20211" w:rsidP="00C50FDD">
      <w:pPr>
        <w:pStyle w:val="BlockLine"/>
        <w:spacing w:before="120"/>
        <w:ind w:left="1620"/>
        <w:rPr>
          <w:sz w:val="16"/>
          <w:szCs w:val="16"/>
        </w:rPr>
      </w:pPr>
    </w:p>
    <w:p w:rsidR="007700AC" w:rsidRDefault="009D5A6D" w:rsidP="007700AC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Policy Change for Net Pay Direct Deposit</w:t>
      </w:r>
    </w:p>
    <w:p w:rsidR="007700AC" w:rsidRPr="00C50FDD" w:rsidRDefault="007700AC" w:rsidP="007700AC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458"/>
        <w:gridCol w:w="8730"/>
      </w:tblGrid>
      <w:tr w:rsidR="0079072D" w:rsidRPr="007700AC" w:rsidTr="00B001A0">
        <w:trPr>
          <w:cantSplit/>
        </w:trPr>
        <w:tc>
          <w:tcPr>
            <w:tcW w:w="1458" w:type="dxa"/>
          </w:tcPr>
          <w:p w:rsidR="0079072D" w:rsidRPr="007700AC" w:rsidRDefault="00037797" w:rsidP="00037797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Deposit for Net Pay</w:t>
            </w:r>
          </w:p>
        </w:tc>
        <w:tc>
          <w:tcPr>
            <w:tcW w:w="8730" w:type="dxa"/>
          </w:tcPr>
          <w:p w:rsidR="00913CE3" w:rsidRDefault="000D1B11" w:rsidP="00037797">
            <w:r w:rsidRPr="000D1B11">
              <w:rPr>
                <w:i/>
              </w:rPr>
              <w:t>Policy e</w:t>
            </w:r>
            <w:r w:rsidR="00037797" w:rsidRPr="000D1B11">
              <w:rPr>
                <w:i/>
              </w:rPr>
              <w:t xml:space="preserve">ffective July 1, </w:t>
            </w:r>
            <w:r w:rsidR="00913CE3" w:rsidRPr="000D1B11">
              <w:rPr>
                <w:i/>
              </w:rPr>
              <w:t>2017</w:t>
            </w:r>
            <w:r w:rsidRPr="000D1B11">
              <w:rPr>
                <w:i/>
              </w:rPr>
              <w:t>:  E</w:t>
            </w:r>
            <w:r w:rsidR="00913CE3" w:rsidRPr="000D1B11">
              <w:rPr>
                <w:i/>
              </w:rPr>
              <w:t xml:space="preserve">mployees </w:t>
            </w:r>
            <w:r w:rsidR="00795CBA" w:rsidRPr="000D1B11">
              <w:rPr>
                <w:i/>
              </w:rPr>
              <w:t xml:space="preserve">paid in CIPPS </w:t>
            </w:r>
            <w:r w:rsidR="00913CE3" w:rsidRPr="000D1B11">
              <w:rPr>
                <w:i/>
              </w:rPr>
              <w:t xml:space="preserve">will be required to </w:t>
            </w:r>
            <w:r w:rsidR="00795CBA" w:rsidRPr="000D1B11">
              <w:rPr>
                <w:i/>
              </w:rPr>
              <w:t xml:space="preserve">deposit their net pay into a single </w:t>
            </w:r>
            <w:r w:rsidR="00913CE3" w:rsidRPr="000D1B11">
              <w:rPr>
                <w:i/>
              </w:rPr>
              <w:t xml:space="preserve">bank account regardless of how many </w:t>
            </w:r>
            <w:r w:rsidR="00795CBA" w:rsidRPr="000D1B11">
              <w:rPr>
                <w:i/>
              </w:rPr>
              <w:t xml:space="preserve">separate </w:t>
            </w:r>
            <w:r w:rsidR="00913CE3" w:rsidRPr="000D1B11">
              <w:rPr>
                <w:i/>
              </w:rPr>
              <w:t xml:space="preserve">employee records there </w:t>
            </w:r>
            <w:r w:rsidR="00BD7D7C">
              <w:rPr>
                <w:i/>
              </w:rPr>
              <w:t>are</w:t>
            </w:r>
            <w:r w:rsidR="00913CE3" w:rsidRPr="000D1B11">
              <w:rPr>
                <w:i/>
              </w:rPr>
              <w:t xml:space="preserve"> in CIPPS</w:t>
            </w:r>
            <w:r w:rsidR="00913CE3">
              <w:t>.</w:t>
            </w:r>
          </w:p>
          <w:p w:rsidR="00913CE3" w:rsidRDefault="00913CE3" w:rsidP="00037797"/>
          <w:p w:rsidR="00913CE3" w:rsidRPr="00BD7D7C" w:rsidRDefault="00037797" w:rsidP="00037797">
            <w:pPr>
              <w:rPr>
                <w:sz w:val="22"/>
                <w:szCs w:val="22"/>
              </w:rPr>
            </w:pPr>
            <w:r w:rsidRPr="00BD7D7C">
              <w:rPr>
                <w:sz w:val="22"/>
                <w:szCs w:val="22"/>
              </w:rPr>
              <w:t xml:space="preserve">Currently in CIPPS </w:t>
            </w:r>
            <w:r w:rsidR="00BD7D7C" w:rsidRPr="00BD7D7C">
              <w:rPr>
                <w:sz w:val="22"/>
                <w:szCs w:val="22"/>
              </w:rPr>
              <w:t>when</w:t>
            </w:r>
            <w:r w:rsidRPr="00BD7D7C">
              <w:rPr>
                <w:sz w:val="22"/>
                <w:szCs w:val="22"/>
              </w:rPr>
              <w:t xml:space="preserve"> an employee works more than one job </w:t>
            </w:r>
            <w:r w:rsidR="00BD7D7C" w:rsidRPr="00BD7D7C">
              <w:rPr>
                <w:sz w:val="22"/>
                <w:szCs w:val="22"/>
              </w:rPr>
              <w:t>(within an agency or across agencies)</w:t>
            </w:r>
            <w:r w:rsidRPr="00BD7D7C">
              <w:rPr>
                <w:sz w:val="22"/>
                <w:szCs w:val="22"/>
              </w:rPr>
              <w:t xml:space="preserve"> each job has a separate payroll record with unique direct deposit distributions for each.  However, in Cardinal direct deposit </w:t>
            </w:r>
            <w:r w:rsidR="00BD7D7C" w:rsidRPr="00BD7D7C">
              <w:rPr>
                <w:sz w:val="22"/>
                <w:szCs w:val="22"/>
              </w:rPr>
              <w:t xml:space="preserve">distributions </w:t>
            </w:r>
            <w:r w:rsidRPr="00BD7D7C">
              <w:rPr>
                <w:sz w:val="22"/>
                <w:szCs w:val="22"/>
              </w:rPr>
              <w:t>are based on the individual employee and not the job record.  Therefore</w:t>
            </w:r>
            <w:r w:rsidR="00913CE3" w:rsidRPr="00BD7D7C">
              <w:rPr>
                <w:sz w:val="22"/>
                <w:szCs w:val="22"/>
              </w:rPr>
              <w:t>,</w:t>
            </w:r>
            <w:r w:rsidRPr="00BD7D7C">
              <w:rPr>
                <w:sz w:val="22"/>
                <w:szCs w:val="22"/>
              </w:rPr>
              <w:t xml:space="preserve"> every payment made to the employee will be distributed in the </w:t>
            </w:r>
            <w:r w:rsidR="00BD7D7C" w:rsidRPr="00BD7D7C">
              <w:rPr>
                <w:sz w:val="22"/>
                <w:szCs w:val="22"/>
              </w:rPr>
              <w:t xml:space="preserve">exact </w:t>
            </w:r>
            <w:r w:rsidRPr="00BD7D7C">
              <w:rPr>
                <w:sz w:val="22"/>
                <w:szCs w:val="22"/>
              </w:rPr>
              <w:t xml:space="preserve">same manner among the direct deposit accounts.  </w:t>
            </w:r>
            <w:r w:rsidR="004C1734">
              <w:rPr>
                <w:sz w:val="22"/>
                <w:szCs w:val="22"/>
              </w:rPr>
              <w:t xml:space="preserve">The purpose of this policy change is to begin to educate employees about this </w:t>
            </w:r>
            <w:r w:rsidR="009764C7">
              <w:rPr>
                <w:sz w:val="22"/>
                <w:szCs w:val="22"/>
              </w:rPr>
              <w:t>modification</w:t>
            </w:r>
            <w:r w:rsidR="004C1734">
              <w:rPr>
                <w:sz w:val="22"/>
                <w:szCs w:val="22"/>
              </w:rPr>
              <w:t xml:space="preserve"> </w:t>
            </w:r>
            <w:r w:rsidR="009764C7">
              <w:rPr>
                <w:sz w:val="22"/>
                <w:szCs w:val="22"/>
              </w:rPr>
              <w:t xml:space="preserve">in business practice </w:t>
            </w:r>
            <w:r w:rsidR="004C1734">
              <w:rPr>
                <w:sz w:val="22"/>
                <w:szCs w:val="22"/>
              </w:rPr>
              <w:t xml:space="preserve">and to facilitate the conversion to Cardinal. </w:t>
            </w:r>
          </w:p>
          <w:p w:rsidR="00913CE3" w:rsidRPr="00BD7D7C" w:rsidRDefault="00913CE3" w:rsidP="00037797">
            <w:pPr>
              <w:rPr>
                <w:sz w:val="22"/>
                <w:szCs w:val="22"/>
              </w:rPr>
            </w:pPr>
          </w:p>
          <w:p w:rsidR="00913CE3" w:rsidRPr="00BD7D7C" w:rsidRDefault="00037797" w:rsidP="00037797">
            <w:pPr>
              <w:rPr>
                <w:sz w:val="22"/>
                <w:szCs w:val="22"/>
              </w:rPr>
            </w:pPr>
            <w:r w:rsidRPr="00BD7D7C">
              <w:rPr>
                <w:sz w:val="22"/>
                <w:szCs w:val="22"/>
              </w:rPr>
              <w:t xml:space="preserve">For example, Employee X works full time for the Department of Accounts where he has a fixed amount of $50 going to the Way2Go card and his net pay going to </w:t>
            </w:r>
            <w:r w:rsidR="00913CE3" w:rsidRPr="00BD7D7C">
              <w:rPr>
                <w:sz w:val="22"/>
                <w:szCs w:val="22"/>
              </w:rPr>
              <w:t xml:space="preserve">account 123 at the </w:t>
            </w:r>
            <w:r w:rsidRPr="00BD7D7C">
              <w:rPr>
                <w:sz w:val="22"/>
                <w:szCs w:val="22"/>
              </w:rPr>
              <w:t>VACU.  Employee X also has a weekend job with Game and Inland Fisheries where he only has his net pay go to</w:t>
            </w:r>
            <w:r w:rsidR="00913CE3" w:rsidRPr="00BD7D7C">
              <w:rPr>
                <w:sz w:val="22"/>
                <w:szCs w:val="22"/>
              </w:rPr>
              <w:t xml:space="preserve"> account 123 at the</w:t>
            </w:r>
            <w:r w:rsidRPr="00BD7D7C">
              <w:rPr>
                <w:sz w:val="22"/>
                <w:szCs w:val="22"/>
              </w:rPr>
              <w:t xml:space="preserve"> VACU.  In Cardinal $50 from each payment will go to the Way2Go card and the net from both will continue to go to </w:t>
            </w:r>
            <w:r w:rsidR="00B631B0" w:rsidRPr="00BD7D7C">
              <w:rPr>
                <w:sz w:val="22"/>
                <w:szCs w:val="22"/>
              </w:rPr>
              <w:t xml:space="preserve">account 123 at the </w:t>
            </w:r>
            <w:r w:rsidRPr="00BD7D7C">
              <w:rPr>
                <w:sz w:val="22"/>
                <w:szCs w:val="22"/>
              </w:rPr>
              <w:t>VACU.  Employee X cannot waive the payment to the Way2Go card from his weekend job.</w:t>
            </w:r>
          </w:p>
          <w:p w:rsidR="00913CE3" w:rsidRPr="00BD7D7C" w:rsidRDefault="00913CE3" w:rsidP="00037797">
            <w:pPr>
              <w:rPr>
                <w:sz w:val="22"/>
                <w:szCs w:val="22"/>
              </w:rPr>
            </w:pPr>
          </w:p>
          <w:p w:rsidR="00037797" w:rsidRPr="00BD7D7C" w:rsidRDefault="00037797" w:rsidP="00037797">
            <w:pPr>
              <w:rPr>
                <w:sz w:val="22"/>
                <w:szCs w:val="22"/>
              </w:rPr>
            </w:pPr>
            <w:r w:rsidRPr="00BD7D7C">
              <w:rPr>
                <w:sz w:val="22"/>
                <w:szCs w:val="22"/>
              </w:rPr>
              <w:t xml:space="preserve">Example 2, Employee Z works for NSU full time and is an adjunct professor at TCC.  Employee Z has her net pay from her full time job at NSU go to </w:t>
            </w:r>
            <w:r w:rsidR="00B631B0" w:rsidRPr="00BD7D7C">
              <w:rPr>
                <w:sz w:val="22"/>
                <w:szCs w:val="22"/>
              </w:rPr>
              <w:t xml:space="preserve">account 456 at the </w:t>
            </w:r>
            <w:r w:rsidRPr="00BD7D7C">
              <w:rPr>
                <w:sz w:val="22"/>
                <w:szCs w:val="22"/>
              </w:rPr>
              <w:t xml:space="preserve">VACU but her net pay from her adjunct work at TCC goes to </w:t>
            </w:r>
            <w:r w:rsidR="00B631B0" w:rsidRPr="00BD7D7C">
              <w:rPr>
                <w:sz w:val="22"/>
                <w:szCs w:val="22"/>
              </w:rPr>
              <w:t xml:space="preserve">account 789 at </w:t>
            </w:r>
            <w:r w:rsidRPr="00BD7D7C">
              <w:rPr>
                <w:sz w:val="22"/>
                <w:szCs w:val="22"/>
              </w:rPr>
              <w:t xml:space="preserve">Bank of America.  In Cardinal, net pay for all positions can only go to one account so Employee Z will have to choose either </w:t>
            </w:r>
            <w:r w:rsidR="00B631B0" w:rsidRPr="00BD7D7C">
              <w:rPr>
                <w:sz w:val="22"/>
                <w:szCs w:val="22"/>
              </w:rPr>
              <w:t xml:space="preserve">account 456 at the </w:t>
            </w:r>
            <w:r w:rsidRPr="00BD7D7C">
              <w:rPr>
                <w:sz w:val="22"/>
                <w:szCs w:val="22"/>
              </w:rPr>
              <w:t xml:space="preserve">VACU or </w:t>
            </w:r>
            <w:r w:rsidR="00B631B0" w:rsidRPr="00BD7D7C">
              <w:rPr>
                <w:sz w:val="22"/>
                <w:szCs w:val="22"/>
              </w:rPr>
              <w:t xml:space="preserve">account 789 at </w:t>
            </w:r>
            <w:r w:rsidRPr="00BD7D7C">
              <w:rPr>
                <w:sz w:val="22"/>
                <w:szCs w:val="22"/>
              </w:rPr>
              <w:t>B</w:t>
            </w:r>
            <w:r w:rsidR="00BD7D7C" w:rsidRPr="00BD7D7C">
              <w:rPr>
                <w:sz w:val="22"/>
                <w:szCs w:val="22"/>
              </w:rPr>
              <w:t xml:space="preserve">ank </w:t>
            </w:r>
            <w:r w:rsidRPr="00BD7D7C">
              <w:rPr>
                <w:sz w:val="22"/>
                <w:szCs w:val="22"/>
              </w:rPr>
              <w:t>of</w:t>
            </w:r>
            <w:r w:rsidR="00BD7D7C" w:rsidRPr="00BD7D7C">
              <w:rPr>
                <w:sz w:val="22"/>
                <w:szCs w:val="22"/>
              </w:rPr>
              <w:t xml:space="preserve"> </w:t>
            </w:r>
            <w:r w:rsidRPr="00BD7D7C">
              <w:rPr>
                <w:sz w:val="22"/>
                <w:szCs w:val="22"/>
              </w:rPr>
              <w:t>A</w:t>
            </w:r>
            <w:r w:rsidR="00BD7D7C" w:rsidRPr="00BD7D7C">
              <w:rPr>
                <w:sz w:val="22"/>
                <w:szCs w:val="22"/>
              </w:rPr>
              <w:t>merica</w:t>
            </w:r>
            <w:r w:rsidRPr="00BD7D7C">
              <w:rPr>
                <w:sz w:val="22"/>
                <w:szCs w:val="22"/>
              </w:rPr>
              <w:t>.</w:t>
            </w:r>
          </w:p>
          <w:p w:rsidR="00037797" w:rsidRPr="00BD7D7C" w:rsidRDefault="00037797" w:rsidP="00037797">
            <w:pPr>
              <w:rPr>
                <w:sz w:val="22"/>
                <w:szCs w:val="22"/>
              </w:rPr>
            </w:pPr>
          </w:p>
          <w:p w:rsidR="00176083" w:rsidRPr="00030B56" w:rsidRDefault="00B631B0" w:rsidP="00B2761E">
            <w:r w:rsidRPr="00332189">
              <w:rPr>
                <w:b/>
                <w:sz w:val="22"/>
                <w:szCs w:val="22"/>
              </w:rPr>
              <w:t>Th</w:t>
            </w:r>
            <w:r w:rsidR="00BD7D7C" w:rsidRPr="00332189">
              <w:rPr>
                <w:b/>
                <w:sz w:val="22"/>
                <w:szCs w:val="22"/>
              </w:rPr>
              <w:t xml:space="preserve">is </w:t>
            </w:r>
            <w:r w:rsidRPr="00332189">
              <w:rPr>
                <w:b/>
                <w:sz w:val="22"/>
                <w:szCs w:val="22"/>
              </w:rPr>
              <w:t>policy change affects net pay</w:t>
            </w:r>
            <w:r w:rsidR="00BD7D7C" w:rsidRPr="00332189">
              <w:rPr>
                <w:b/>
                <w:sz w:val="22"/>
                <w:szCs w:val="22"/>
              </w:rPr>
              <w:t xml:space="preserve"> only</w:t>
            </w:r>
            <w:r w:rsidRPr="00BD7D7C">
              <w:rPr>
                <w:sz w:val="22"/>
                <w:szCs w:val="22"/>
              </w:rPr>
              <w:t xml:space="preserve">.  </w:t>
            </w:r>
            <w:r w:rsidR="00037797" w:rsidRPr="00BD7D7C">
              <w:rPr>
                <w:sz w:val="22"/>
                <w:szCs w:val="22"/>
              </w:rPr>
              <w:t>Th</w:t>
            </w:r>
            <w:r w:rsidR="00BD7D7C" w:rsidRPr="00BD7D7C">
              <w:rPr>
                <w:sz w:val="22"/>
                <w:szCs w:val="22"/>
              </w:rPr>
              <w:t xml:space="preserve">e employee may continue to vary elected fixed direct deposit distributions while still being paid in CIPPS.  </w:t>
            </w:r>
            <w:r w:rsidR="00DA4F05" w:rsidRPr="00BD7D7C">
              <w:rPr>
                <w:sz w:val="22"/>
                <w:szCs w:val="22"/>
              </w:rPr>
              <w:t xml:space="preserve">State Payroll Operations will </w:t>
            </w:r>
            <w:r w:rsidR="00037797" w:rsidRPr="00BD7D7C">
              <w:rPr>
                <w:sz w:val="22"/>
                <w:szCs w:val="22"/>
              </w:rPr>
              <w:t xml:space="preserve">provide a list of affected employees to </w:t>
            </w:r>
            <w:r w:rsidR="00BD7D7C" w:rsidRPr="00BD7D7C">
              <w:rPr>
                <w:sz w:val="22"/>
                <w:szCs w:val="22"/>
              </w:rPr>
              <w:t>employing</w:t>
            </w:r>
            <w:r w:rsidR="00037797" w:rsidRPr="00BD7D7C">
              <w:rPr>
                <w:sz w:val="22"/>
                <w:szCs w:val="22"/>
              </w:rPr>
              <w:t xml:space="preserve"> agencies</w:t>
            </w:r>
            <w:r w:rsidR="00DA4F05" w:rsidRPr="00BD7D7C">
              <w:rPr>
                <w:sz w:val="22"/>
                <w:szCs w:val="22"/>
              </w:rPr>
              <w:t xml:space="preserve"> by </w:t>
            </w:r>
            <w:r w:rsidR="00B2761E">
              <w:rPr>
                <w:sz w:val="22"/>
                <w:szCs w:val="22"/>
              </w:rPr>
              <w:t>April</w:t>
            </w:r>
            <w:r w:rsidR="00DA4F05" w:rsidRPr="00BD7D7C">
              <w:rPr>
                <w:sz w:val="22"/>
                <w:szCs w:val="22"/>
              </w:rPr>
              <w:t xml:space="preserve"> </w:t>
            </w:r>
            <w:r w:rsidR="00B2761E">
              <w:rPr>
                <w:sz w:val="22"/>
                <w:szCs w:val="22"/>
              </w:rPr>
              <w:t>28</w:t>
            </w:r>
            <w:r w:rsidR="00037797" w:rsidRPr="00BD7D7C">
              <w:rPr>
                <w:sz w:val="22"/>
                <w:szCs w:val="22"/>
              </w:rPr>
              <w:t>.  Agencies wi</w:t>
            </w:r>
            <w:r w:rsidR="00DA4F05" w:rsidRPr="00BD7D7C">
              <w:rPr>
                <w:sz w:val="22"/>
                <w:szCs w:val="22"/>
              </w:rPr>
              <w:t>ll be responsible for coordination with employees to ensure compliance</w:t>
            </w:r>
            <w:r w:rsidR="00037797" w:rsidRPr="00BD7D7C">
              <w:rPr>
                <w:sz w:val="22"/>
                <w:szCs w:val="22"/>
              </w:rPr>
              <w:t>.  SPO will monitor compliance until CIPPS is decommissioned.</w:t>
            </w:r>
          </w:p>
        </w:tc>
      </w:tr>
    </w:tbl>
    <w:p w:rsidR="00E97746" w:rsidRDefault="00E97746">
      <w:pPr>
        <w:rPr>
          <w:b/>
          <w:sz w:val="28"/>
          <w:szCs w:val="28"/>
        </w:rPr>
      </w:pPr>
    </w:p>
    <w:sectPr w:rsidR="00E97746" w:rsidSect="00B631B0">
      <w:headerReference w:type="default" r:id="rId10"/>
      <w:footerReference w:type="default" r:id="rId11"/>
      <w:pgSz w:w="12240" w:h="15840" w:code="1"/>
      <w:pgMar w:top="540" w:right="1152" w:bottom="360" w:left="1152" w:header="28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45" w:rsidRDefault="00227E45">
      <w:r>
        <w:separator/>
      </w:r>
    </w:p>
  </w:endnote>
  <w:endnote w:type="continuationSeparator" w:id="0">
    <w:p w:rsidR="00227E45" w:rsidRDefault="0022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DF" w:rsidRDefault="00B136DF" w:rsidP="00DD1147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173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C1734">
      <w:rPr>
        <w:rStyle w:val="PageNumber"/>
        <w:noProof/>
      </w:rPr>
      <w:t>2</w:t>
    </w:r>
    <w:r>
      <w:rPr>
        <w:rStyle w:val="PageNumber"/>
      </w:rPr>
      <w:fldChar w:fldCharType="end"/>
    </w:r>
  </w:p>
  <w:p w:rsidR="00B136DF" w:rsidRPr="008E2020" w:rsidRDefault="008F7933" w:rsidP="008E2020">
    <w:pPr>
      <w:pStyle w:val="NormalWeb"/>
      <w:jc w:val="center"/>
      <w:rPr>
        <w:rFonts w:ascii="Arial" w:hAnsi="Arial" w:cs="Arial"/>
        <w:color w:val="006666"/>
        <w:sz w:val="20"/>
        <w:szCs w:val="20"/>
      </w:rPr>
    </w:pPr>
    <w:hyperlink r:id="rId1" w:tooltip="http://www.doa.virginia.gov/Payroll/Payroll_Bulletins/Payroll_Bulletins_Main.cfm" w:history="1">
      <w:r w:rsidR="00B136DF">
        <w:rPr>
          <w:rStyle w:val="Hyperlink"/>
          <w:i/>
          <w:iCs/>
          <w:snapToGrid w:val="0"/>
          <w:sz w:val="22"/>
          <w:szCs w:val="20"/>
        </w:rPr>
        <w:t>http://www.doa.virginia.gov/Payroll/Payroll_Bulletins/Payroll_Bulletins_Main.cfm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45" w:rsidRDefault="00227E45">
      <w:r>
        <w:separator/>
      </w:r>
    </w:p>
  </w:footnote>
  <w:footnote w:type="continuationSeparator" w:id="0">
    <w:p w:rsidR="00227E45" w:rsidRDefault="00227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DF" w:rsidRDefault="00B136DF" w:rsidP="00B97E16"/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3366"/>
      <w:gridCol w:w="3366"/>
      <w:gridCol w:w="3456"/>
    </w:tblGrid>
    <w:tr w:rsidR="00B136DF" w:rsidTr="00457EE5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B136DF" w:rsidRDefault="00B136DF" w:rsidP="006B618E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2016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B136DF" w:rsidRDefault="006C1000" w:rsidP="00137FE0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July </w:t>
          </w:r>
          <w:r w:rsidR="00137FE0">
            <w:rPr>
              <w:b/>
              <w:sz w:val="20"/>
            </w:rPr>
            <w:t>25</w:t>
          </w:r>
          <w:r w:rsidR="00B136DF">
            <w:rPr>
              <w:b/>
              <w:sz w:val="20"/>
            </w:rPr>
            <w:t>, 201</w:t>
          </w:r>
          <w:r w:rsidR="006A1DDB">
            <w:rPr>
              <w:b/>
              <w:sz w:val="20"/>
            </w:rPr>
            <w:t>6</w:t>
          </w:r>
        </w:p>
      </w:tc>
      <w:tc>
        <w:tcPr>
          <w:tcW w:w="3456" w:type="dxa"/>
          <w:tcBorders>
            <w:bottom w:val="double" w:sz="6" w:space="0" w:color="auto"/>
          </w:tcBorders>
        </w:tcPr>
        <w:p w:rsidR="00B136DF" w:rsidRDefault="00B136DF" w:rsidP="006C1000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2016-</w:t>
          </w:r>
          <w:r w:rsidR="007D4492">
            <w:rPr>
              <w:b/>
              <w:sz w:val="20"/>
            </w:rPr>
            <w:t>0</w:t>
          </w:r>
          <w:r w:rsidR="006C1000">
            <w:rPr>
              <w:b/>
              <w:sz w:val="20"/>
            </w:rPr>
            <w:t>7</w:t>
          </w:r>
        </w:p>
      </w:tc>
    </w:tr>
  </w:tbl>
  <w:p w:rsidR="00B136DF" w:rsidRDefault="00B136DF" w:rsidP="00B97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0F8"/>
    <w:multiLevelType w:val="hybridMultilevel"/>
    <w:tmpl w:val="8D6E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574A1"/>
    <w:multiLevelType w:val="hybridMultilevel"/>
    <w:tmpl w:val="4658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177B"/>
    <w:multiLevelType w:val="hybridMultilevel"/>
    <w:tmpl w:val="182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516B9"/>
    <w:multiLevelType w:val="hybridMultilevel"/>
    <w:tmpl w:val="4F6E9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7B3B2A"/>
    <w:multiLevelType w:val="hybridMultilevel"/>
    <w:tmpl w:val="D658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322CE"/>
    <w:multiLevelType w:val="hybridMultilevel"/>
    <w:tmpl w:val="EE92D78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6C996A76"/>
    <w:multiLevelType w:val="hybridMultilevel"/>
    <w:tmpl w:val="0D54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F76AC"/>
    <w:multiLevelType w:val="hybridMultilevel"/>
    <w:tmpl w:val="CB70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851DA"/>
    <w:multiLevelType w:val="singleLevel"/>
    <w:tmpl w:val="C91A883A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78"/>
    <w:rsid w:val="00001EE2"/>
    <w:rsid w:val="0000308D"/>
    <w:rsid w:val="00004F99"/>
    <w:rsid w:val="000134A3"/>
    <w:rsid w:val="00016C23"/>
    <w:rsid w:val="000229A0"/>
    <w:rsid w:val="000248B8"/>
    <w:rsid w:val="0003091B"/>
    <w:rsid w:val="00030B56"/>
    <w:rsid w:val="00031810"/>
    <w:rsid w:val="00037797"/>
    <w:rsid w:val="00045E51"/>
    <w:rsid w:val="00051F41"/>
    <w:rsid w:val="00053D2A"/>
    <w:rsid w:val="00057FF0"/>
    <w:rsid w:val="0006613D"/>
    <w:rsid w:val="00082B31"/>
    <w:rsid w:val="00090054"/>
    <w:rsid w:val="000950B2"/>
    <w:rsid w:val="000A15F1"/>
    <w:rsid w:val="000A3E0D"/>
    <w:rsid w:val="000A6C74"/>
    <w:rsid w:val="000B4932"/>
    <w:rsid w:val="000C512B"/>
    <w:rsid w:val="000D0C78"/>
    <w:rsid w:val="000D1B11"/>
    <w:rsid w:val="000E4259"/>
    <w:rsid w:val="000F6DE8"/>
    <w:rsid w:val="0010126D"/>
    <w:rsid w:val="00101D96"/>
    <w:rsid w:val="00103B1F"/>
    <w:rsid w:val="00106AFF"/>
    <w:rsid w:val="00107440"/>
    <w:rsid w:val="00111132"/>
    <w:rsid w:val="00123327"/>
    <w:rsid w:val="00123B03"/>
    <w:rsid w:val="001271E6"/>
    <w:rsid w:val="00133A90"/>
    <w:rsid w:val="00137FE0"/>
    <w:rsid w:val="001434D8"/>
    <w:rsid w:val="001466D1"/>
    <w:rsid w:val="00153F62"/>
    <w:rsid w:val="00166819"/>
    <w:rsid w:val="0017285D"/>
    <w:rsid w:val="00172D33"/>
    <w:rsid w:val="00176083"/>
    <w:rsid w:val="00176AD2"/>
    <w:rsid w:val="00177EA1"/>
    <w:rsid w:val="0019385E"/>
    <w:rsid w:val="001952D4"/>
    <w:rsid w:val="00196C53"/>
    <w:rsid w:val="001A2715"/>
    <w:rsid w:val="001A3EA1"/>
    <w:rsid w:val="001B21AB"/>
    <w:rsid w:val="001B31CA"/>
    <w:rsid w:val="001C3B20"/>
    <w:rsid w:val="001C416E"/>
    <w:rsid w:val="001C6B3E"/>
    <w:rsid w:val="001E07BF"/>
    <w:rsid w:val="001E47DD"/>
    <w:rsid w:val="001E5422"/>
    <w:rsid w:val="001E5C91"/>
    <w:rsid w:val="001E676B"/>
    <w:rsid w:val="001F28FA"/>
    <w:rsid w:val="001F423F"/>
    <w:rsid w:val="0020143F"/>
    <w:rsid w:val="00203080"/>
    <w:rsid w:val="0021385E"/>
    <w:rsid w:val="00221066"/>
    <w:rsid w:val="002226E4"/>
    <w:rsid w:val="00223DE2"/>
    <w:rsid w:val="002244EF"/>
    <w:rsid w:val="00224F21"/>
    <w:rsid w:val="00225F15"/>
    <w:rsid w:val="00226457"/>
    <w:rsid w:val="00227E45"/>
    <w:rsid w:val="00245772"/>
    <w:rsid w:val="00246724"/>
    <w:rsid w:val="00251987"/>
    <w:rsid w:val="00254C18"/>
    <w:rsid w:val="002719DD"/>
    <w:rsid w:val="00282FE5"/>
    <w:rsid w:val="002875BF"/>
    <w:rsid w:val="00292042"/>
    <w:rsid w:val="0029488E"/>
    <w:rsid w:val="002A149C"/>
    <w:rsid w:val="002A5381"/>
    <w:rsid w:val="002B01D1"/>
    <w:rsid w:val="002B46AD"/>
    <w:rsid w:val="002B69A0"/>
    <w:rsid w:val="002B7654"/>
    <w:rsid w:val="002C1D7B"/>
    <w:rsid w:val="002C39DA"/>
    <w:rsid w:val="002C703D"/>
    <w:rsid w:val="002D161B"/>
    <w:rsid w:val="002D27FC"/>
    <w:rsid w:val="002D399D"/>
    <w:rsid w:val="002F1C8C"/>
    <w:rsid w:val="002F385B"/>
    <w:rsid w:val="002F62BD"/>
    <w:rsid w:val="002F7B7E"/>
    <w:rsid w:val="00312378"/>
    <w:rsid w:val="00315DB1"/>
    <w:rsid w:val="00324E82"/>
    <w:rsid w:val="00332189"/>
    <w:rsid w:val="0033498C"/>
    <w:rsid w:val="00335E1B"/>
    <w:rsid w:val="00340826"/>
    <w:rsid w:val="003421FD"/>
    <w:rsid w:val="00347522"/>
    <w:rsid w:val="00351CE2"/>
    <w:rsid w:val="00355280"/>
    <w:rsid w:val="00364148"/>
    <w:rsid w:val="003667F5"/>
    <w:rsid w:val="00374067"/>
    <w:rsid w:val="003836E3"/>
    <w:rsid w:val="00385A63"/>
    <w:rsid w:val="003864C7"/>
    <w:rsid w:val="00387A2A"/>
    <w:rsid w:val="00390FC5"/>
    <w:rsid w:val="003979FE"/>
    <w:rsid w:val="003A1D48"/>
    <w:rsid w:val="003A393B"/>
    <w:rsid w:val="003B09C4"/>
    <w:rsid w:val="003B0F6E"/>
    <w:rsid w:val="003B1670"/>
    <w:rsid w:val="003B33F0"/>
    <w:rsid w:val="003D56A6"/>
    <w:rsid w:val="003E202C"/>
    <w:rsid w:val="004039D1"/>
    <w:rsid w:val="00404F89"/>
    <w:rsid w:val="00406F86"/>
    <w:rsid w:val="004125C7"/>
    <w:rsid w:val="00415425"/>
    <w:rsid w:val="00420394"/>
    <w:rsid w:val="00430920"/>
    <w:rsid w:val="0044520A"/>
    <w:rsid w:val="004520E7"/>
    <w:rsid w:val="00457EE5"/>
    <w:rsid w:val="00460983"/>
    <w:rsid w:val="0046130F"/>
    <w:rsid w:val="0047681B"/>
    <w:rsid w:val="004836BB"/>
    <w:rsid w:val="00486725"/>
    <w:rsid w:val="004A715D"/>
    <w:rsid w:val="004C1734"/>
    <w:rsid w:val="004D0157"/>
    <w:rsid w:val="004D1F0B"/>
    <w:rsid w:val="004D21E8"/>
    <w:rsid w:val="004D3A63"/>
    <w:rsid w:val="004D774C"/>
    <w:rsid w:val="004E7B9F"/>
    <w:rsid w:val="004F162A"/>
    <w:rsid w:val="004F41D9"/>
    <w:rsid w:val="004F58ED"/>
    <w:rsid w:val="0050233B"/>
    <w:rsid w:val="00505A5C"/>
    <w:rsid w:val="00530D2F"/>
    <w:rsid w:val="00545EED"/>
    <w:rsid w:val="00546D78"/>
    <w:rsid w:val="0054778C"/>
    <w:rsid w:val="0055314D"/>
    <w:rsid w:val="0056085F"/>
    <w:rsid w:val="00562AD7"/>
    <w:rsid w:val="00564691"/>
    <w:rsid w:val="00565BF7"/>
    <w:rsid w:val="005668A2"/>
    <w:rsid w:val="0057239D"/>
    <w:rsid w:val="00575ECA"/>
    <w:rsid w:val="00580CFE"/>
    <w:rsid w:val="005C1612"/>
    <w:rsid w:val="005C2403"/>
    <w:rsid w:val="005C5449"/>
    <w:rsid w:val="005C5703"/>
    <w:rsid w:val="005D6F7B"/>
    <w:rsid w:val="005F1589"/>
    <w:rsid w:val="005F27CC"/>
    <w:rsid w:val="005F4969"/>
    <w:rsid w:val="0060156A"/>
    <w:rsid w:val="006053B8"/>
    <w:rsid w:val="00612422"/>
    <w:rsid w:val="00622F42"/>
    <w:rsid w:val="00624F5A"/>
    <w:rsid w:val="00625C6B"/>
    <w:rsid w:val="00632A78"/>
    <w:rsid w:val="00654A74"/>
    <w:rsid w:val="00654A9F"/>
    <w:rsid w:val="00667B73"/>
    <w:rsid w:val="00674030"/>
    <w:rsid w:val="00675079"/>
    <w:rsid w:val="0068029E"/>
    <w:rsid w:val="0068152E"/>
    <w:rsid w:val="00686D94"/>
    <w:rsid w:val="0069030B"/>
    <w:rsid w:val="00694236"/>
    <w:rsid w:val="006A1DDB"/>
    <w:rsid w:val="006A59A8"/>
    <w:rsid w:val="006B03F2"/>
    <w:rsid w:val="006B1547"/>
    <w:rsid w:val="006B24C0"/>
    <w:rsid w:val="006B618E"/>
    <w:rsid w:val="006B7109"/>
    <w:rsid w:val="006C0DEF"/>
    <w:rsid w:val="006C1000"/>
    <w:rsid w:val="006C784B"/>
    <w:rsid w:val="006D39A3"/>
    <w:rsid w:val="006D4C54"/>
    <w:rsid w:val="006E25A3"/>
    <w:rsid w:val="006E63B6"/>
    <w:rsid w:val="00710811"/>
    <w:rsid w:val="00717F70"/>
    <w:rsid w:val="007340F6"/>
    <w:rsid w:val="00744122"/>
    <w:rsid w:val="00747E3C"/>
    <w:rsid w:val="00757BFB"/>
    <w:rsid w:val="0076253D"/>
    <w:rsid w:val="007667FA"/>
    <w:rsid w:val="007700AC"/>
    <w:rsid w:val="007750D1"/>
    <w:rsid w:val="007767FE"/>
    <w:rsid w:val="007802BE"/>
    <w:rsid w:val="0078110A"/>
    <w:rsid w:val="0079072D"/>
    <w:rsid w:val="007928AE"/>
    <w:rsid w:val="00795CBA"/>
    <w:rsid w:val="007A1BE7"/>
    <w:rsid w:val="007A4B30"/>
    <w:rsid w:val="007C28D4"/>
    <w:rsid w:val="007D0028"/>
    <w:rsid w:val="007D4492"/>
    <w:rsid w:val="007F51A7"/>
    <w:rsid w:val="00801B20"/>
    <w:rsid w:val="00805277"/>
    <w:rsid w:val="00817E5C"/>
    <w:rsid w:val="0082204F"/>
    <w:rsid w:val="008231DB"/>
    <w:rsid w:val="00836D7F"/>
    <w:rsid w:val="00863351"/>
    <w:rsid w:val="00872A79"/>
    <w:rsid w:val="0088060E"/>
    <w:rsid w:val="008948EA"/>
    <w:rsid w:val="0089615E"/>
    <w:rsid w:val="008A2DD0"/>
    <w:rsid w:val="008B260B"/>
    <w:rsid w:val="008C29E8"/>
    <w:rsid w:val="008D4AF2"/>
    <w:rsid w:val="008E2020"/>
    <w:rsid w:val="008E3BC9"/>
    <w:rsid w:val="008F7933"/>
    <w:rsid w:val="00902D90"/>
    <w:rsid w:val="00912638"/>
    <w:rsid w:val="00913CE3"/>
    <w:rsid w:val="009219E7"/>
    <w:rsid w:val="00924138"/>
    <w:rsid w:val="00930697"/>
    <w:rsid w:val="00936318"/>
    <w:rsid w:val="009421F0"/>
    <w:rsid w:val="00946516"/>
    <w:rsid w:val="00946E65"/>
    <w:rsid w:val="009601E3"/>
    <w:rsid w:val="0096049E"/>
    <w:rsid w:val="0096689D"/>
    <w:rsid w:val="00973F1C"/>
    <w:rsid w:val="00974C38"/>
    <w:rsid w:val="009764C7"/>
    <w:rsid w:val="00976C71"/>
    <w:rsid w:val="00977053"/>
    <w:rsid w:val="00993D57"/>
    <w:rsid w:val="00994CF9"/>
    <w:rsid w:val="00995DE7"/>
    <w:rsid w:val="009A1F19"/>
    <w:rsid w:val="009B1406"/>
    <w:rsid w:val="009B3816"/>
    <w:rsid w:val="009C499F"/>
    <w:rsid w:val="009C7DEE"/>
    <w:rsid w:val="009D3989"/>
    <w:rsid w:val="009D5435"/>
    <w:rsid w:val="009D558B"/>
    <w:rsid w:val="009D5A6D"/>
    <w:rsid w:val="009D7831"/>
    <w:rsid w:val="009E088A"/>
    <w:rsid w:val="009E1735"/>
    <w:rsid w:val="009E4C7E"/>
    <w:rsid w:val="009E564C"/>
    <w:rsid w:val="009E6D2D"/>
    <w:rsid w:val="009E7D09"/>
    <w:rsid w:val="009F6559"/>
    <w:rsid w:val="009F6827"/>
    <w:rsid w:val="009F750F"/>
    <w:rsid w:val="009F766D"/>
    <w:rsid w:val="009F7AFD"/>
    <w:rsid w:val="009F7CC0"/>
    <w:rsid w:val="00A008BF"/>
    <w:rsid w:val="00A03696"/>
    <w:rsid w:val="00A16CA0"/>
    <w:rsid w:val="00A263A1"/>
    <w:rsid w:val="00A317F9"/>
    <w:rsid w:val="00A43F6D"/>
    <w:rsid w:val="00A4564F"/>
    <w:rsid w:val="00A56BAD"/>
    <w:rsid w:val="00A652B4"/>
    <w:rsid w:val="00A67421"/>
    <w:rsid w:val="00A72FF9"/>
    <w:rsid w:val="00A80AA5"/>
    <w:rsid w:val="00A850F9"/>
    <w:rsid w:val="00A935B0"/>
    <w:rsid w:val="00AA3D34"/>
    <w:rsid w:val="00AB7D87"/>
    <w:rsid w:val="00AD04D6"/>
    <w:rsid w:val="00AD4C12"/>
    <w:rsid w:val="00AD6F16"/>
    <w:rsid w:val="00AE0915"/>
    <w:rsid w:val="00AE0F14"/>
    <w:rsid w:val="00AF2E45"/>
    <w:rsid w:val="00B00010"/>
    <w:rsid w:val="00B001A0"/>
    <w:rsid w:val="00B016C2"/>
    <w:rsid w:val="00B02240"/>
    <w:rsid w:val="00B03090"/>
    <w:rsid w:val="00B11532"/>
    <w:rsid w:val="00B136DF"/>
    <w:rsid w:val="00B14904"/>
    <w:rsid w:val="00B17AF8"/>
    <w:rsid w:val="00B20211"/>
    <w:rsid w:val="00B2761E"/>
    <w:rsid w:val="00B339F6"/>
    <w:rsid w:val="00B40842"/>
    <w:rsid w:val="00B50995"/>
    <w:rsid w:val="00B5268D"/>
    <w:rsid w:val="00B54594"/>
    <w:rsid w:val="00B55CF6"/>
    <w:rsid w:val="00B622C3"/>
    <w:rsid w:val="00B631B0"/>
    <w:rsid w:val="00B74D3C"/>
    <w:rsid w:val="00B77999"/>
    <w:rsid w:val="00B87D23"/>
    <w:rsid w:val="00B900DE"/>
    <w:rsid w:val="00B92EAE"/>
    <w:rsid w:val="00B97E16"/>
    <w:rsid w:val="00BA1DCB"/>
    <w:rsid w:val="00BA56B9"/>
    <w:rsid w:val="00BA6BD8"/>
    <w:rsid w:val="00BC14B5"/>
    <w:rsid w:val="00BC16C7"/>
    <w:rsid w:val="00BC5E04"/>
    <w:rsid w:val="00BD43E3"/>
    <w:rsid w:val="00BD7D7C"/>
    <w:rsid w:val="00BE2C42"/>
    <w:rsid w:val="00BE46BB"/>
    <w:rsid w:val="00C033C7"/>
    <w:rsid w:val="00C0777C"/>
    <w:rsid w:val="00C07D38"/>
    <w:rsid w:val="00C120F3"/>
    <w:rsid w:val="00C17C4F"/>
    <w:rsid w:val="00C3073A"/>
    <w:rsid w:val="00C30F8D"/>
    <w:rsid w:val="00C3769E"/>
    <w:rsid w:val="00C50FDD"/>
    <w:rsid w:val="00C90D0F"/>
    <w:rsid w:val="00C91E35"/>
    <w:rsid w:val="00CA60F6"/>
    <w:rsid w:val="00CB6BD9"/>
    <w:rsid w:val="00CC05AC"/>
    <w:rsid w:val="00CC3889"/>
    <w:rsid w:val="00CC79DD"/>
    <w:rsid w:val="00CD3AC2"/>
    <w:rsid w:val="00CD59A1"/>
    <w:rsid w:val="00CE5E54"/>
    <w:rsid w:val="00CF4033"/>
    <w:rsid w:val="00CF5444"/>
    <w:rsid w:val="00CF740F"/>
    <w:rsid w:val="00D04BB8"/>
    <w:rsid w:val="00D061DC"/>
    <w:rsid w:val="00D1529F"/>
    <w:rsid w:val="00D222BD"/>
    <w:rsid w:val="00D26B24"/>
    <w:rsid w:val="00D40EFC"/>
    <w:rsid w:val="00D44A6C"/>
    <w:rsid w:val="00D65654"/>
    <w:rsid w:val="00D66D0A"/>
    <w:rsid w:val="00D73421"/>
    <w:rsid w:val="00D91CF8"/>
    <w:rsid w:val="00D925A8"/>
    <w:rsid w:val="00D96E2A"/>
    <w:rsid w:val="00D97801"/>
    <w:rsid w:val="00D9795E"/>
    <w:rsid w:val="00DA3A9D"/>
    <w:rsid w:val="00DA4F05"/>
    <w:rsid w:val="00DB0B3E"/>
    <w:rsid w:val="00DC20F9"/>
    <w:rsid w:val="00DC4EBA"/>
    <w:rsid w:val="00DC5DEA"/>
    <w:rsid w:val="00DD1147"/>
    <w:rsid w:val="00DD1736"/>
    <w:rsid w:val="00DD73BE"/>
    <w:rsid w:val="00DE4CEE"/>
    <w:rsid w:val="00DF5E14"/>
    <w:rsid w:val="00E02CD9"/>
    <w:rsid w:val="00E04427"/>
    <w:rsid w:val="00E06DE1"/>
    <w:rsid w:val="00E11CBF"/>
    <w:rsid w:val="00E16516"/>
    <w:rsid w:val="00E16562"/>
    <w:rsid w:val="00E1713D"/>
    <w:rsid w:val="00E2451F"/>
    <w:rsid w:val="00E30565"/>
    <w:rsid w:val="00E33D5A"/>
    <w:rsid w:val="00E34174"/>
    <w:rsid w:val="00E344E8"/>
    <w:rsid w:val="00E42669"/>
    <w:rsid w:val="00E55C65"/>
    <w:rsid w:val="00E563EC"/>
    <w:rsid w:val="00E626BF"/>
    <w:rsid w:val="00E834E5"/>
    <w:rsid w:val="00E97746"/>
    <w:rsid w:val="00E97CB7"/>
    <w:rsid w:val="00EA0494"/>
    <w:rsid w:val="00EA060E"/>
    <w:rsid w:val="00EA5FFE"/>
    <w:rsid w:val="00EB1C98"/>
    <w:rsid w:val="00EB43AF"/>
    <w:rsid w:val="00EB6181"/>
    <w:rsid w:val="00EB6D2F"/>
    <w:rsid w:val="00EC44BE"/>
    <w:rsid w:val="00ED247F"/>
    <w:rsid w:val="00EE2DCF"/>
    <w:rsid w:val="00EE3DDF"/>
    <w:rsid w:val="00EE48EE"/>
    <w:rsid w:val="00EF26A6"/>
    <w:rsid w:val="00F04298"/>
    <w:rsid w:val="00F04C91"/>
    <w:rsid w:val="00F04E94"/>
    <w:rsid w:val="00F14517"/>
    <w:rsid w:val="00F20AC6"/>
    <w:rsid w:val="00F22B94"/>
    <w:rsid w:val="00F2394F"/>
    <w:rsid w:val="00F3320E"/>
    <w:rsid w:val="00F342E2"/>
    <w:rsid w:val="00F34A52"/>
    <w:rsid w:val="00F412C0"/>
    <w:rsid w:val="00F43DB3"/>
    <w:rsid w:val="00F44D1A"/>
    <w:rsid w:val="00F45A7B"/>
    <w:rsid w:val="00F62EB3"/>
    <w:rsid w:val="00F64A4D"/>
    <w:rsid w:val="00F9185B"/>
    <w:rsid w:val="00F92BE9"/>
    <w:rsid w:val="00F94FAF"/>
    <w:rsid w:val="00FA4CF0"/>
    <w:rsid w:val="00FA65B1"/>
    <w:rsid w:val="00FA7A22"/>
    <w:rsid w:val="00FB18D8"/>
    <w:rsid w:val="00FB4EFD"/>
    <w:rsid w:val="00FC4BFF"/>
    <w:rsid w:val="00FD1318"/>
    <w:rsid w:val="00FD2839"/>
    <w:rsid w:val="00FE69F7"/>
    <w:rsid w:val="00F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link w:val="Heading5Char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ind w:left="187" w:hanging="187"/>
    </w:pPr>
  </w:style>
  <w:style w:type="paragraph" w:customStyle="1" w:styleId="BulletText2">
    <w:name w:val="Bullet Text 2"/>
    <w:basedOn w:val="BulletText1"/>
    <w:pPr>
      <w:ind w:left="360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Heading4"/>
    <w:rsid w:val="0069030B"/>
    <w:rPr>
      <w:b/>
      <w:sz w:val="3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semiHidden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Pr>
      <w:b/>
      <w:sz w:val="18"/>
    </w:rPr>
  </w:style>
  <w:style w:type="paragraph" w:styleId="BodyText2">
    <w:name w:val="Body Text 2"/>
    <w:basedOn w:val="Normal"/>
    <w:rPr>
      <w:b/>
      <w:sz w:val="16"/>
    </w:rPr>
  </w:style>
  <w:style w:type="paragraph" w:styleId="Title">
    <w:name w:val="Title"/>
    <w:basedOn w:val="Normal"/>
    <w:qFormat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Extmemo">
    <w:name w:val="Extmemo"/>
    <w:basedOn w:val="Normal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D3AC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qFormat/>
    <w:rsid w:val="00CD3AC2"/>
    <w:rPr>
      <w:i/>
      <w:iCs/>
    </w:rPr>
  </w:style>
  <w:style w:type="paragraph" w:styleId="NoSpacing">
    <w:name w:val="No Spacing"/>
    <w:basedOn w:val="Normal"/>
    <w:uiPriority w:val="1"/>
    <w:qFormat/>
    <w:rsid w:val="002B69A0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103B1F"/>
    <w:rPr>
      <w:b/>
      <w:bCs/>
    </w:rPr>
  </w:style>
  <w:style w:type="paragraph" w:styleId="ListParagraph">
    <w:name w:val="List Paragraph"/>
    <w:basedOn w:val="Normal"/>
    <w:uiPriority w:val="34"/>
    <w:qFormat/>
    <w:rsid w:val="00710811"/>
    <w:pPr>
      <w:ind w:left="720"/>
      <w:contextualSpacing/>
    </w:pPr>
  </w:style>
  <w:style w:type="paragraph" w:customStyle="1" w:styleId="Default">
    <w:name w:val="Default"/>
    <w:rsid w:val="00B509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EE3DDF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link w:val="Heading5Char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ind w:left="187" w:hanging="187"/>
    </w:pPr>
  </w:style>
  <w:style w:type="paragraph" w:customStyle="1" w:styleId="BulletText2">
    <w:name w:val="Bullet Text 2"/>
    <w:basedOn w:val="BulletText1"/>
    <w:pPr>
      <w:ind w:left="360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Heading4"/>
    <w:rsid w:val="0069030B"/>
    <w:rPr>
      <w:b/>
      <w:sz w:val="3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semiHidden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Pr>
      <w:b/>
      <w:sz w:val="18"/>
    </w:rPr>
  </w:style>
  <w:style w:type="paragraph" w:styleId="BodyText2">
    <w:name w:val="Body Text 2"/>
    <w:basedOn w:val="Normal"/>
    <w:rPr>
      <w:b/>
      <w:sz w:val="16"/>
    </w:rPr>
  </w:style>
  <w:style w:type="paragraph" w:styleId="Title">
    <w:name w:val="Title"/>
    <w:basedOn w:val="Normal"/>
    <w:qFormat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Extmemo">
    <w:name w:val="Extmemo"/>
    <w:basedOn w:val="Normal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D3AC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qFormat/>
    <w:rsid w:val="00CD3AC2"/>
    <w:rPr>
      <w:i/>
      <w:iCs/>
    </w:rPr>
  </w:style>
  <w:style w:type="paragraph" w:styleId="NoSpacing">
    <w:name w:val="No Spacing"/>
    <w:basedOn w:val="Normal"/>
    <w:uiPriority w:val="1"/>
    <w:qFormat/>
    <w:rsid w:val="002B69A0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103B1F"/>
    <w:rPr>
      <w:b/>
      <w:bCs/>
    </w:rPr>
  </w:style>
  <w:style w:type="paragraph" w:styleId="ListParagraph">
    <w:name w:val="List Paragraph"/>
    <w:basedOn w:val="Normal"/>
    <w:uiPriority w:val="34"/>
    <w:qFormat/>
    <w:rsid w:val="00710811"/>
    <w:pPr>
      <w:ind w:left="720"/>
      <w:contextualSpacing/>
    </w:pPr>
  </w:style>
  <w:style w:type="paragraph" w:customStyle="1" w:styleId="Default">
    <w:name w:val="Default"/>
    <w:rsid w:val="00B509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EE3DDF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8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hy.mcgill@doa.virginia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A2C1-3679-447C-B3DC-DF5A8C13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0</TotalTime>
  <Pages>1</Pages>
  <Words>461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</vt:lpstr>
    </vt:vector>
  </TitlesOfParts>
  <Company>Department of Accounts Payroll Operations</Company>
  <LinksUpToDate>false</LinksUpToDate>
  <CharactersWithSpaces>2799</CharactersWithSpaces>
  <SharedDoc>false</SharedDoc>
  <HLinks>
    <vt:vector size="30" baseType="variant">
      <vt:variant>
        <vt:i4>3342337</vt:i4>
      </vt:variant>
      <vt:variant>
        <vt:i4>9</vt:i4>
      </vt:variant>
      <vt:variant>
        <vt:i4>0</vt:i4>
      </vt:variant>
      <vt:variant>
        <vt:i4>5</vt:i4>
      </vt:variant>
      <vt:variant>
        <vt:lpwstr>mailto:Health%20Recons@doa.virginia.gov</vt:lpwstr>
      </vt:variant>
      <vt:variant>
        <vt:lpwstr/>
      </vt:variant>
      <vt:variant>
        <vt:i4>5701701</vt:i4>
      </vt:variant>
      <vt:variant>
        <vt:i4>6</vt:i4>
      </vt:variant>
      <vt:variant>
        <vt:i4>0</vt:i4>
      </vt:variant>
      <vt:variant>
        <vt:i4>5</vt:i4>
      </vt:variant>
      <vt:variant>
        <vt:lpwstr>http://www.cardinalproject.virginia.gov/Statewide Training/Simulations/GL332Simulation/toc0.html</vt:lpwstr>
      </vt:variant>
      <vt:variant>
        <vt:lpwstr/>
      </vt:variant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http://www.cardinalproject.virginia.gov/Statewide Forms.shtml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</dc:title>
  <dc:subject>Payroll Bulletin</dc:subject>
  <dc:creator>Virginia Department of Accounts</dc:creator>
  <cp:keywords>Payroll Bulletin</cp:keywords>
  <cp:lastModifiedBy>Attuso, Diana (DOA)</cp:lastModifiedBy>
  <cp:revision>2</cp:revision>
  <cp:lastPrinted>2015-08-27T18:46:00Z</cp:lastPrinted>
  <dcterms:created xsi:type="dcterms:W3CDTF">2017-04-17T20:23:00Z</dcterms:created>
  <dcterms:modified xsi:type="dcterms:W3CDTF">2017-04-17T20:23:00Z</dcterms:modified>
  <cp:category>Payroll Bulletin</cp:category>
</cp:coreProperties>
</file>