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E834E5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Calendar Year 20</w:t>
            </w:r>
            <w:r w:rsidR="00A4564F">
              <w:rPr>
                <w:b/>
                <w:sz w:val="20"/>
              </w:rPr>
              <w:t>1</w:t>
            </w:r>
            <w:r w:rsidR="0028270A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8675DE" w:rsidP="0028270A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May </w:t>
            </w:r>
            <w:r w:rsidR="0028270A">
              <w:rPr>
                <w:b/>
                <w:sz w:val="20"/>
              </w:rPr>
              <w:t>27</w:t>
            </w:r>
            <w:r w:rsidR="00564691">
              <w:rPr>
                <w:b/>
                <w:sz w:val="20"/>
              </w:rPr>
              <w:t>, 201</w:t>
            </w:r>
            <w:r w:rsidR="0028270A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28270A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Volume 20</w:t>
            </w:r>
            <w:r w:rsidR="00A4564F">
              <w:rPr>
                <w:b/>
                <w:sz w:val="20"/>
              </w:rPr>
              <w:t>1</w:t>
            </w:r>
            <w:r w:rsidR="0028270A">
              <w:rPr>
                <w:b/>
                <w:sz w:val="20"/>
              </w:rPr>
              <w:t>4</w:t>
            </w:r>
            <w:r w:rsidR="00564691">
              <w:rPr>
                <w:b/>
                <w:sz w:val="20"/>
              </w:rPr>
              <w:t>-</w:t>
            </w:r>
            <w:r w:rsidR="00D311B8">
              <w:rPr>
                <w:b/>
                <w:sz w:val="20"/>
              </w:rPr>
              <w:t>09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tbl>
      <w:tblPr>
        <w:tblW w:w="0" w:type="auto"/>
        <w:tblLook w:val="01E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DA6523" w:rsidRDefault="00725A37" w:rsidP="007D487C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Match System Enhancement</w:t>
            </w:r>
          </w:p>
          <w:p w:rsidR="00572278" w:rsidRDefault="00572278" w:rsidP="007D487C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Deferred Compensation Processing Reminders</w:t>
            </w:r>
          </w:p>
          <w:p w:rsidR="00BB3D04" w:rsidRDefault="00BB3D04" w:rsidP="00BB3D04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 Deduction Reminder – Less than 12 Month Employees</w:t>
            </w:r>
          </w:p>
          <w:p w:rsidR="00BB3D04" w:rsidRPr="00612422" w:rsidRDefault="00FA2E37" w:rsidP="00FA2E37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Shift Pay System Enhancement</w:t>
            </w: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28270A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Cash Match</w:t>
      </w:r>
      <w:r w:rsidR="00831E14">
        <w:rPr>
          <w:rFonts w:ascii="Times New Roman" w:hAnsi="Times New Roman"/>
          <w:b/>
          <w:sz w:val="28"/>
          <w:szCs w:val="28"/>
        </w:rPr>
        <w:t xml:space="preserve"> System</w:t>
      </w:r>
      <w:r>
        <w:rPr>
          <w:rFonts w:ascii="Times New Roman" w:hAnsi="Times New Roman"/>
          <w:b/>
          <w:sz w:val="28"/>
          <w:szCs w:val="28"/>
        </w:rPr>
        <w:t xml:space="preserve"> Enhancement</w:t>
      </w:r>
    </w:p>
    <w:p w:rsidR="004E7B9F" w:rsidRPr="00C50FDD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638"/>
        <w:gridCol w:w="8550"/>
      </w:tblGrid>
      <w:tr w:rsidR="00B20211" w:rsidTr="00725A37">
        <w:trPr>
          <w:cantSplit/>
        </w:trPr>
        <w:tc>
          <w:tcPr>
            <w:tcW w:w="1638" w:type="dxa"/>
          </w:tcPr>
          <w:p w:rsidR="00B20211" w:rsidRDefault="00725A37" w:rsidP="003B1670">
            <w:pPr>
              <w:pStyle w:val="Heading5"/>
            </w:pPr>
            <w:r>
              <w:t>Cash Match Synchronized with Deferred Compensation and Annuities</w:t>
            </w:r>
          </w:p>
        </w:tc>
        <w:tc>
          <w:tcPr>
            <w:tcW w:w="8550" w:type="dxa"/>
          </w:tcPr>
          <w:p w:rsidR="00831E14" w:rsidRDefault="004043FE" w:rsidP="00725A37">
            <w:pPr>
              <w:ind w:left="162"/>
            </w:pPr>
            <w:r>
              <w:t xml:space="preserve">Previously </w:t>
            </w:r>
            <w:r w:rsidR="00831E14">
              <w:t>deductions 045</w:t>
            </w:r>
            <w:r w:rsidR="00426975">
              <w:t xml:space="preserve">, </w:t>
            </w:r>
            <w:r w:rsidR="00831E14">
              <w:t>DC MATCH</w:t>
            </w:r>
            <w:r w:rsidR="00426975">
              <w:t>,</w:t>
            </w:r>
            <w:r w:rsidR="00831E14">
              <w:t xml:space="preserve"> and 046</w:t>
            </w:r>
            <w:r w:rsidR="00426975">
              <w:t xml:space="preserve">, </w:t>
            </w:r>
            <w:r w:rsidR="00831E14">
              <w:t>AN MATCH</w:t>
            </w:r>
            <w:r w:rsidR="00426975">
              <w:t>,</w:t>
            </w:r>
            <w:r w:rsidR="00831E14">
              <w:t xml:space="preserve"> operated independent</w:t>
            </w:r>
            <w:r w:rsidR="003C272E">
              <w:t>ly</w:t>
            </w:r>
            <w:r>
              <w:t xml:space="preserve"> from the corresponding employee contribution deductions</w:t>
            </w:r>
            <w:r w:rsidR="00587902">
              <w:t>.  M</w:t>
            </w:r>
            <w:r w:rsidR="00831E14">
              <w:t xml:space="preserve">anual audits </w:t>
            </w:r>
            <w:r w:rsidR="00587902">
              <w:t xml:space="preserve">were required </w:t>
            </w:r>
            <w:r w:rsidR="00831E14">
              <w:t xml:space="preserve">to ensure that the employer cash match was not paid without a coinciding contribution to </w:t>
            </w:r>
            <w:r w:rsidR="00725A37">
              <w:t>an eligible deferral plan.</w:t>
            </w:r>
            <w:r w:rsidR="00587902">
              <w:t xml:space="preserve">  A</w:t>
            </w:r>
            <w:r w:rsidR="002B0D8C">
              <w:t xml:space="preserve">gencies stopped the </w:t>
            </w:r>
            <w:r w:rsidR="00725A37">
              <w:t xml:space="preserve">employer cash match </w:t>
            </w:r>
            <w:r w:rsidR="002B0D8C">
              <w:t>for extended periods by changing</w:t>
            </w:r>
            <w:r w:rsidR="00725A37">
              <w:t xml:space="preserve"> the</w:t>
            </w:r>
            <w:r w:rsidR="00971996">
              <w:t xml:space="preserve"> appropriate </w:t>
            </w:r>
            <w:r w:rsidR="00725A37">
              <w:t xml:space="preserve">deduction frequency </w:t>
            </w:r>
            <w:r w:rsidR="002B0D8C">
              <w:t>from “09” to</w:t>
            </w:r>
            <w:r w:rsidR="00725A37">
              <w:t xml:space="preserve"> “00”.  This caused administrative difficulties because agencies had to remember to turn the frequency back to “09” </w:t>
            </w:r>
            <w:r w:rsidR="00971996">
              <w:t>when it was time to resume the employer cash match.</w:t>
            </w:r>
          </w:p>
          <w:p w:rsidR="00725A37" w:rsidRDefault="00725A37" w:rsidP="00725A37">
            <w:pPr>
              <w:ind w:left="162"/>
            </w:pPr>
          </w:p>
          <w:p w:rsidR="00725A37" w:rsidRDefault="00725A37" w:rsidP="00971996">
            <w:pPr>
              <w:ind w:left="162"/>
            </w:pPr>
            <w:r>
              <w:t>Beginning May 27, deductions 045</w:t>
            </w:r>
            <w:r w:rsidR="00587902">
              <w:t>, D</w:t>
            </w:r>
            <w:r>
              <w:t>C MATCH</w:t>
            </w:r>
            <w:r w:rsidR="00587902">
              <w:t>,</w:t>
            </w:r>
            <w:r>
              <w:t xml:space="preserve"> and 046</w:t>
            </w:r>
            <w:r w:rsidR="00587902">
              <w:t xml:space="preserve">, </w:t>
            </w:r>
            <w:r>
              <w:t>AN MATCH</w:t>
            </w:r>
            <w:r w:rsidR="00587902">
              <w:t xml:space="preserve">, </w:t>
            </w:r>
            <w:r>
              <w:t xml:space="preserve">have been enhanced to work in tandem with </w:t>
            </w:r>
            <w:r w:rsidR="00971996">
              <w:t>deduction 038</w:t>
            </w:r>
            <w:r w:rsidR="00587902">
              <w:t xml:space="preserve">, </w:t>
            </w:r>
            <w:r w:rsidR="00971996">
              <w:t>DEF COMP</w:t>
            </w:r>
            <w:r w:rsidR="00587902">
              <w:t>,</w:t>
            </w:r>
            <w:r w:rsidR="00971996">
              <w:t xml:space="preserve"> and deduction 039</w:t>
            </w:r>
            <w:r w:rsidR="00587902">
              <w:t>,</w:t>
            </w:r>
            <w:r w:rsidR="00971996">
              <w:t xml:space="preserve"> PRE TAX</w:t>
            </w:r>
            <w:r w:rsidR="00587902">
              <w:t>,</w:t>
            </w:r>
            <w:r w:rsidR="00971996">
              <w:t xml:space="preserve"> respectively.</w:t>
            </w:r>
            <w:r w:rsidR="004043FE">
              <w:t xml:space="preserve">  </w:t>
            </w:r>
          </w:p>
          <w:p w:rsidR="00971996" w:rsidRDefault="00971996" w:rsidP="00971996">
            <w:pPr>
              <w:ind w:left="162"/>
            </w:pPr>
          </w:p>
          <w:p w:rsidR="00971996" w:rsidRDefault="00971996" w:rsidP="00971996">
            <w:pPr>
              <w:ind w:left="162"/>
            </w:pPr>
            <w:r>
              <w:t>Deduction 045</w:t>
            </w:r>
            <w:r w:rsidR="00587902">
              <w:t xml:space="preserve">, </w:t>
            </w:r>
            <w:r>
              <w:t>DC MATCH</w:t>
            </w:r>
            <w:r w:rsidR="00587902">
              <w:t>,</w:t>
            </w:r>
            <w:r>
              <w:t xml:space="preserve"> has been programmed to take the lesser of one half of the amount withheld in deduction 038</w:t>
            </w:r>
            <w:r w:rsidR="00587902">
              <w:t xml:space="preserve">, </w:t>
            </w:r>
            <w:r>
              <w:t>DEF COMP</w:t>
            </w:r>
            <w:r w:rsidR="00587902">
              <w:t>,</w:t>
            </w:r>
            <w:r>
              <w:t xml:space="preserve"> or the amount specified for deduction 045</w:t>
            </w:r>
            <w:r w:rsidR="00587902">
              <w:t xml:space="preserve">, </w:t>
            </w:r>
            <w:r>
              <w:t>DC MATCH.</w:t>
            </w:r>
          </w:p>
          <w:p w:rsidR="00971996" w:rsidRDefault="00971996" w:rsidP="00971996">
            <w:pPr>
              <w:ind w:left="162"/>
            </w:pPr>
          </w:p>
          <w:p w:rsidR="00971996" w:rsidRDefault="00971996" w:rsidP="00971996">
            <w:pPr>
              <w:ind w:left="162"/>
            </w:pPr>
            <w:r>
              <w:t>Deduction 046</w:t>
            </w:r>
            <w:r w:rsidR="0059148E">
              <w:t xml:space="preserve">, </w:t>
            </w:r>
            <w:r>
              <w:t>AN MATCH</w:t>
            </w:r>
            <w:r w:rsidR="0059148E">
              <w:t>,</w:t>
            </w:r>
            <w:r>
              <w:t xml:space="preserve"> has been programmed to take the lesser of one half of the amount withheld in deduction 039</w:t>
            </w:r>
            <w:r w:rsidR="0059148E">
              <w:t>,</w:t>
            </w:r>
            <w:r>
              <w:t xml:space="preserve"> PRE TAX</w:t>
            </w:r>
            <w:r w:rsidR="0059148E">
              <w:t>,</w:t>
            </w:r>
            <w:r>
              <w:t xml:space="preserve"> or the amount specified for deduction 046</w:t>
            </w:r>
            <w:r w:rsidR="0059148E">
              <w:t xml:space="preserve">, </w:t>
            </w:r>
            <w:r>
              <w:t>AN MATCH.</w:t>
            </w:r>
          </w:p>
          <w:p w:rsidR="00971996" w:rsidRDefault="00971996" w:rsidP="00971996">
            <w:pPr>
              <w:ind w:left="162"/>
            </w:pPr>
          </w:p>
          <w:p w:rsidR="00C56613" w:rsidRDefault="00971996" w:rsidP="00C56613">
            <w:pPr>
              <w:ind w:left="162"/>
            </w:pPr>
            <w:r>
              <w:t xml:space="preserve">As a result, deductions 045 and 046 will not process unless </w:t>
            </w:r>
            <w:r w:rsidR="00AD6046">
              <w:t>a corresponding</w:t>
            </w:r>
            <w:r>
              <w:t xml:space="preserve"> amount is withheld in deduction 038 or 039</w:t>
            </w:r>
            <w:r w:rsidR="0059148E">
              <w:t>,</w:t>
            </w:r>
            <w:r>
              <w:t xml:space="preserve"> respectively.</w:t>
            </w:r>
            <w:r w:rsidR="00C56613">
              <w:t xml:space="preserve">  </w:t>
            </w:r>
          </w:p>
          <w:p w:rsidR="00C56613" w:rsidRDefault="00C56613" w:rsidP="00C56613">
            <w:pPr>
              <w:ind w:left="162"/>
            </w:pPr>
          </w:p>
          <w:p w:rsidR="00C56613" w:rsidRDefault="004043FE" w:rsidP="00FA2E37">
            <w:pPr>
              <w:ind w:left="162"/>
            </w:pPr>
            <w:r>
              <w:t xml:space="preserve">Please discontinue the practice of </w:t>
            </w:r>
            <w:r w:rsidR="00971996">
              <w:t>turn</w:t>
            </w:r>
            <w:r>
              <w:t>ing</w:t>
            </w:r>
            <w:r w:rsidR="00971996">
              <w:t xml:space="preserve"> the frequency to “00” for deductions 045 and 046 to stop the </w:t>
            </w:r>
            <w:r w:rsidR="00C56613">
              <w:t xml:space="preserve">processing of those deductions </w:t>
            </w:r>
            <w:r w:rsidR="00A56D21">
              <w:t xml:space="preserve">unless the employee permanently loses eligibility for the employer cash match.  (Examples: Salaried employee becomes a wage employee or Hybrid Retirement Plan employee ceases to contribute the </w:t>
            </w:r>
            <w:r w:rsidR="003C272E">
              <w:t xml:space="preserve">max </w:t>
            </w:r>
            <w:r w:rsidR="00A56D21">
              <w:t>4% voluntary contribution.)</w:t>
            </w:r>
          </w:p>
        </w:tc>
      </w:tr>
    </w:tbl>
    <w:p w:rsidR="000D2D5E" w:rsidRDefault="000D2D5E" w:rsidP="000D2D5E">
      <w:pPr>
        <w:pStyle w:val="BlockLine"/>
        <w:ind w:left="1620"/>
        <w:rPr>
          <w:sz w:val="16"/>
          <w:szCs w:val="16"/>
        </w:rPr>
      </w:pPr>
    </w:p>
    <w:p w:rsidR="007D487C" w:rsidRDefault="00752120" w:rsidP="007D487C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Deferred Compensation Processing Reminders</w:t>
      </w:r>
    </w:p>
    <w:p w:rsidR="007D487C" w:rsidRPr="00C50FDD" w:rsidRDefault="007D487C" w:rsidP="007D487C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638"/>
        <w:gridCol w:w="8550"/>
      </w:tblGrid>
      <w:tr w:rsidR="007D487C" w:rsidTr="00892A59">
        <w:trPr>
          <w:cantSplit/>
        </w:trPr>
        <w:tc>
          <w:tcPr>
            <w:tcW w:w="1638" w:type="dxa"/>
          </w:tcPr>
          <w:p w:rsidR="007D487C" w:rsidRDefault="00BC7A6A" w:rsidP="00603CBF">
            <w:pPr>
              <w:pStyle w:val="Heading5"/>
            </w:pPr>
            <w:r>
              <w:t xml:space="preserve">Do </w:t>
            </w:r>
            <w:r w:rsidR="00603CBF">
              <w:t>N</w:t>
            </w:r>
            <w:r>
              <w:t xml:space="preserve">ot Double Deduct for Missed </w:t>
            </w:r>
            <w:r w:rsidR="00892A59">
              <w:t xml:space="preserve">Deferred Compensation </w:t>
            </w:r>
            <w:r>
              <w:t>Deductions!</w:t>
            </w:r>
          </w:p>
        </w:tc>
        <w:tc>
          <w:tcPr>
            <w:tcW w:w="8550" w:type="dxa"/>
          </w:tcPr>
          <w:p w:rsidR="00BC7A6A" w:rsidRDefault="00BC7A6A" w:rsidP="00BC7A6A">
            <w:pPr>
              <w:ind w:left="162"/>
            </w:pPr>
            <w:r>
              <w:t>Do not double</w:t>
            </w:r>
            <w:r w:rsidR="00090692">
              <w:t>-</w:t>
            </w:r>
            <w:r>
              <w:t>deduct deduction 038</w:t>
            </w:r>
            <w:r w:rsidR="00090692">
              <w:t xml:space="preserve">, </w:t>
            </w:r>
            <w:r>
              <w:t>DEF COMP</w:t>
            </w:r>
            <w:r w:rsidR="00090692">
              <w:t>,</w:t>
            </w:r>
            <w:r>
              <w:t xml:space="preserve"> when an employee terminates mid</w:t>
            </w:r>
            <w:r w:rsidR="00090692">
              <w:t>-</w:t>
            </w:r>
            <w:r w:rsidR="00E779F5">
              <w:t>month.  Deferred c</w:t>
            </w:r>
            <w:r>
              <w:t xml:space="preserve">ompensation is not a monthly deduction.  Employees specify an amount to be withheld each period and they cannot defer more than </w:t>
            </w:r>
            <w:r w:rsidR="00EE7888">
              <w:t>the authorized</w:t>
            </w:r>
            <w:r>
              <w:t xml:space="preserve"> amount for that pay period</w:t>
            </w:r>
            <w:r w:rsidR="004043FE">
              <w:t xml:space="preserve"> without a one-time deferral form </w:t>
            </w:r>
            <w:r w:rsidR="00F521C7">
              <w:t>submitted</w:t>
            </w:r>
            <w:r w:rsidR="004043FE">
              <w:t xml:space="preserve"> in the prior month</w:t>
            </w:r>
            <w:r>
              <w:t xml:space="preserve">.  </w:t>
            </w:r>
          </w:p>
          <w:p w:rsidR="00BC7A6A" w:rsidRDefault="00BC7A6A" w:rsidP="00BC7A6A">
            <w:pPr>
              <w:ind w:left="162"/>
            </w:pPr>
          </w:p>
          <w:p w:rsidR="00BC7A6A" w:rsidRDefault="00BC7A6A" w:rsidP="00EE7888">
            <w:pPr>
              <w:ind w:left="162"/>
            </w:pPr>
            <w:r>
              <w:t xml:space="preserve">Likewise, they cannot defer an amount for a pay period in which they did not earn wages.  </w:t>
            </w:r>
            <w:r w:rsidR="00EE7888">
              <w:t>D</w:t>
            </w:r>
            <w:r>
              <w:t>o not catch up missed deductions for periods</w:t>
            </w:r>
            <w:r w:rsidR="00EE7888">
              <w:t xml:space="preserve"> in which the employee was entirely on LWOP</w:t>
            </w:r>
            <w:r w:rsidR="004043FE">
              <w:t xml:space="preserve"> or had insufficient funds for the full deferral</w:t>
            </w:r>
            <w:r>
              <w:t>.  However, if the employee receives a delayed payment (for example, a late VSDP approval) you can withhold the deferral at the time the payment is made for that pay period.</w:t>
            </w:r>
          </w:p>
        </w:tc>
      </w:tr>
    </w:tbl>
    <w:p w:rsidR="007D487C" w:rsidRDefault="007D487C" w:rsidP="007D487C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D3238A" w:rsidTr="002B0D8C">
        <w:trPr>
          <w:cantSplit/>
        </w:trPr>
        <w:tc>
          <w:tcPr>
            <w:tcW w:w="1458" w:type="dxa"/>
          </w:tcPr>
          <w:p w:rsidR="00D3238A" w:rsidRDefault="00D3238A" w:rsidP="002B0D8C">
            <w:pPr>
              <w:pStyle w:val="Heading5"/>
            </w:pPr>
            <w:r>
              <w:t>Rounding Calculations for Cash Match</w:t>
            </w:r>
          </w:p>
        </w:tc>
        <w:tc>
          <w:tcPr>
            <w:tcW w:w="8730" w:type="dxa"/>
          </w:tcPr>
          <w:p w:rsidR="00D3238A" w:rsidRDefault="00E779F5" w:rsidP="002B0D8C">
            <w:pPr>
              <w:ind w:left="162"/>
            </w:pPr>
            <w:r>
              <w:t>The employer cash match, p</w:t>
            </w:r>
            <w:r w:rsidR="00ED7915">
              <w:t xml:space="preserve">er VRS </w:t>
            </w:r>
            <w:r>
              <w:t>g</w:t>
            </w:r>
            <w:r w:rsidR="00ED7915">
              <w:t xml:space="preserve">uidance, should be rounded </w:t>
            </w:r>
            <w:r w:rsidR="004043FE">
              <w:t xml:space="preserve">up </w:t>
            </w:r>
            <w:r w:rsidR="00ED7915">
              <w:t>to the nearest one-hundredth when computing half of the contribution made to eligible deferral plans.</w:t>
            </w:r>
          </w:p>
          <w:p w:rsidR="00ED7915" w:rsidRDefault="00ED7915" w:rsidP="002B0D8C">
            <w:pPr>
              <w:ind w:left="162"/>
            </w:pPr>
          </w:p>
          <w:p w:rsidR="00ED7915" w:rsidRDefault="00ED7915" w:rsidP="002B0D8C">
            <w:pPr>
              <w:ind w:left="162"/>
            </w:pPr>
            <w:r>
              <w:t>For example, if the employee is contributing $26.67 per pay period to deferred compensation, half of the contribution would be $13.335 making the employee eligible to receive a rounded cash match contribution of $13.34.</w:t>
            </w:r>
          </w:p>
          <w:p w:rsidR="00ED7915" w:rsidRDefault="00ED7915" w:rsidP="002B0D8C">
            <w:pPr>
              <w:ind w:left="162"/>
            </w:pPr>
          </w:p>
          <w:p w:rsidR="00ED7915" w:rsidRDefault="00ED7915" w:rsidP="004043FE">
            <w:pPr>
              <w:ind w:left="162"/>
            </w:pPr>
            <w:r>
              <w:t xml:space="preserve">Report U149 has been enhanced to include this logic.  Please review this report and </w:t>
            </w:r>
            <w:r w:rsidR="004043FE">
              <w:t>modify the employee deduction amount where necessary</w:t>
            </w:r>
            <w:r>
              <w:t>.</w:t>
            </w:r>
          </w:p>
        </w:tc>
      </w:tr>
    </w:tbl>
    <w:p w:rsidR="000D2D5E" w:rsidRDefault="000D2D5E" w:rsidP="000D2D5E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0D2D5E" w:rsidTr="007B626C">
        <w:trPr>
          <w:cantSplit/>
        </w:trPr>
        <w:tc>
          <w:tcPr>
            <w:tcW w:w="1458" w:type="dxa"/>
          </w:tcPr>
          <w:p w:rsidR="000D2D5E" w:rsidRDefault="007B626C" w:rsidP="007B626C">
            <w:pPr>
              <w:pStyle w:val="Heading5"/>
            </w:pPr>
            <w:r>
              <w:t>Report 942 – Employer Cash Match Audit Report</w:t>
            </w:r>
          </w:p>
        </w:tc>
        <w:tc>
          <w:tcPr>
            <w:tcW w:w="8730" w:type="dxa"/>
          </w:tcPr>
          <w:p w:rsidR="007B626C" w:rsidRDefault="007B626C" w:rsidP="007B626C">
            <w:pPr>
              <w:ind w:left="162"/>
            </w:pPr>
            <w:r>
              <w:t>Report 942</w:t>
            </w:r>
            <w:r w:rsidR="00913509">
              <w:t xml:space="preserve">, </w:t>
            </w:r>
            <w:r>
              <w:t>Employer Cash Match Audit Report</w:t>
            </w:r>
            <w:r w:rsidR="00913509">
              <w:t>,</w:t>
            </w:r>
            <w:r>
              <w:t xml:space="preserve"> was used by agencies to monitor those employees </w:t>
            </w:r>
            <w:r w:rsidR="00017543">
              <w:t xml:space="preserve">who will reach the deferred compensation limit within two pay periods and who </w:t>
            </w:r>
            <w:r w:rsidR="004043FE">
              <w:t xml:space="preserve">will </w:t>
            </w:r>
            <w:r w:rsidR="00017543">
              <w:t xml:space="preserve">thus </w:t>
            </w:r>
            <w:r>
              <w:t xml:space="preserve">need to have the employer cash match turned </w:t>
            </w:r>
            <w:proofErr w:type="gramStart"/>
            <w:r>
              <w:t>off .</w:t>
            </w:r>
            <w:proofErr w:type="gramEnd"/>
            <w:r w:rsidR="004043FE">
              <w:t xml:space="preserve">  However</w:t>
            </w:r>
            <w:r w:rsidR="00017543">
              <w:t>,</w:t>
            </w:r>
            <w:r w:rsidR="004043FE">
              <w:t xml:space="preserve"> with the system enhancement for cash match deductions discussed previously</w:t>
            </w:r>
            <w:r w:rsidR="00017543">
              <w:t>,</w:t>
            </w:r>
            <w:r w:rsidR="004043FE">
              <w:t xml:space="preserve"> which prevents </w:t>
            </w:r>
            <w:r>
              <w:t>the employer cash match from processing w</w:t>
            </w:r>
            <w:r w:rsidR="004043FE">
              <w:t>hen the employee deferral YTD goal is reached</w:t>
            </w:r>
            <w:r w:rsidR="00017543">
              <w:t>,</w:t>
            </w:r>
            <w:r w:rsidR="00DC4F0F">
              <w:t xml:space="preserve"> this monitoring is no longer necessary</w:t>
            </w:r>
            <w:r>
              <w:t xml:space="preserve">. </w:t>
            </w:r>
          </w:p>
          <w:p w:rsidR="007B626C" w:rsidRDefault="007B626C" w:rsidP="007B626C">
            <w:pPr>
              <w:ind w:left="162"/>
            </w:pPr>
          </w:p>
          <w:p w:rsidR="007B626C" w:rsidRDefault="007B626C" w:rsidP="007742D1">
            <w:pPr>
              <w:ind w:left="162"/>
            </w:pPr>
            <w:r>
              <w:t>Report 942</w:t>
            </w:r>
            <w:r w:rsidR="007742D1">
              <w:t>, renamed Supplemental Cash Match to Cease, can still be requested should you wish to be apprised in advance</w:t>
            </w:r>
            <w:r w:rsidR="00BB3D04">
              <w:t>.</w:t>
            </w:r>
          </w:p>
        </w:tc>
      </w:tr>
    </w:tbl>
    <w:p w:rsidR="000D2D5E" w:rsidRDefault="000D2D5E" w:rsidP="000D2D5E">
      <w:pPr>
        <w:pStyle w:val="BlockLine"/>
        <w:ind w:left="1620"/>
        <w:rPr>
          <w:sz w:val="16"/>
          <w:szCs w:val="16"/>
        </w:rPr>
      </w:pPr>
    </w:p>
    <w:p w:rsidR="0030023E" w:rsidRDefault="0030023E" w:rsidP="000D2D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30023E" w:rsidRDefault="0030023E" w:rsidP="000D2D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30023E" w:rsidRDefault="0030023E" w:rsidP="000D2D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30023E" w:rsidRDefault="0030023E" w:rsidP="000D2D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30023E" w:rsidRDefault="0030023E" w:rsidP="000D2D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30023E" w:rsidRDefault="0030023E" w:rsidP="000D2D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060240" w:rsidRDefault="00060240" w:rsidP="000D2D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402517" w:rsidRDefault="00402517" w:rsidP="000D2D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0D2D5E" w:rsidRDefault="000D2D5E" w:rsidP="000D2D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VRS Deduction Reminder – Less than 12 Month Employees</w:t>
      </w:r>
    </w:p>
    <w:p w:rsidR="000D2D5E" w:rsidRPr="00C50FDD" w:rsidRDefault="000D2D5E" w:rsidP="000D2D5E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0D2D5E" w:rsidTr="007B626C">
        <w:trPr>
          <w:cantSplit/>
        </w:trPr>
        <w:tc>
          <w:tcPr>
            <w:tcW w:w="1458" w:type="dxa"/>
          </w:tcPr>
          <w:p w:rsidR="000D2D5E" w:rsidRDefault="000D2D5E" w:rsidP="00F51391">
            <w:pPr>
              <w:pStyle w:val="Heading5"/>
            </w:pPr>
            <w:r>
              <w:t xml:space="preserve">Request Mass Trans to Delay Retirement Deductions </w:t>
            </w:r>
            <w:proofErr w:type="gramStart"/>
            <w:r w:rsidR="00F51391">
              <w:t>D</w:t>
            </w:r>
            <w:r>
              <w:t>uring</w:t>
            </w:r>
            <w:proofErr w:type="gramEnd"/>
            <w:r>
              <w:t xml:space="preserve"> Off Contract Months</w:t>
            </w:r>
          </w:p>
        </w:tc>
        <w:tc>
          <w:tcPr>
            <w:tcW w:w="8730" w:type="dxa"/>
          </w:tcPr>
          <w:p w:rsidR="000D2D5E" w:rsidRDefault="000D2D5E" w:rsidP="007B626C">
            <w:pPr>
              <w:ind w:left="162"/>
            </w:pPr>
            <w:r>
              <w:t xml:space="preserve">This is a reminder that retirement contributions should cease </w:t>
            </w:r>
            <w:r w:rsidR="009D556A">
              <w:t xml:space="preserve">during the off-contract months </w:t>
            </w:r>
            <w:r>
              <w:t xml:space="preserve">for VRS Plan employees who work less than 12 months.  To delay the necessary deductions, contact State Payroll Operations to request a </w:t>
            </w:r>
            <w:r w:rsidR="00705689">
              <w:t>m</w:t>
            </w:r>
            <w:r>
              <w:t xml:space="preserve">ass </w:t>
            </w:r>
            <w:r w:rsidR="00705689">
              <w:t>t</w:t>
            </w:r>
            <w:r>
              <w:t>rans</w:t>
            </w:r>
            <w:r w:rsidR="00705689">
              <w:t>action</w:t>
            </w:r>
            <w:r>
              <w:t xml:space="preserve"> to update the “Start Date” to the first day of the pay period </w:t>
            </w:r>
            <w:r w:rsidR="00705689">
              <w:t xml:space="preserve">when </w:t>
            </w:r>
            <w:r>
              <w:t>deductions should resume.</w:t>
            </w:r>
          </w:p>
          <w:p w:rsidR="000D2D5E" w:rsidRDefault="000D2D5E" w:rsidP="007B626C">
            <w:pPr>
              <w:ind w:left="162"/>
            </w:pPr>
          </w:p>
          <w:p w:rsidR="000D2D5E" w:rsidRDefault="000D2D5E" w:rsidP="007B626C">
            <w:pPr>
              <w:ind w:left="162"/>
            </w:pPr>
            <w:r>
              <w:t>If the contract period ends mid</w:t>
            </w:r>
            <w:r w:rsidR="00705689">
              <w:t>-</w:t>
            </w:r>
            <w:r>
              <w:t xml:space="preserve">month, be sure to continue the VRS deductions through </w:t>
            </w:r>
            <w:r w:rsidR="00705689">
              <w:t xml:space="preserve">the </w:t>
            </w:r>
            <w:r>
              <w:t xml:space="preserve">end of the month.  For example, if the contract period is 8/15 - 5/15, take deductions for the 4/25-5/9 period as well as the 5/10-24 period.  The Mass Trans should be requested and processed during the 5/25-6/9 period to stop the deductions until the first pay period in September (8/25-9/9).  </w:t>
            </w:r>
          </w:p>
          <w:p w:rsidR="000D2D5E" w:rsidRDefault="000D2D5E" w:rsidP="007B626C">
            <w:pPr>
              <w:ind w:left="162"/>
            </w:pPr>
          </w:p>
          <w:p w:rsidR="000D2D5E" w:rsidRDefault="000D2D5E" w:rsidP="007B626C">
            <w:pPr>
              <w:ind w:left="162"/>
            </w:pPr>
            <w:r>
              <w:t xml:space="preserve">Review </w:t>
            </w:r>
            <w:hyperlink r:id="rId9" w:history="1">
              <w:r w:rsidRPr="004809FF">
                <w:rPr>
                  <w:rStyle w:val="Hyperlink"/>
                </w:rPr>
                <w:t>Payroll Bulletin 2012-11</w:t>
              </w:r>
            </w:hyperlink>
            <w:r>
              <w:t xml:space="preserve"> for more information.</w:t>
            </w:r>
          </w:p>
        </w:tc>
      </w:tr>
    </w:tbl>
    <w:p w:rsidR="00FA2E37" w:rsidRDefault="00FA2E37" w:rsidP="00FA2E37">
      <w:pPr>
        <w:pStyle w:val="BlockLine"/>
        <w:tabs>
          <w:tab w:val="left" w:pos="1980"/>
        </w:tabs>
        <w:spacing w:before="120"/>
        <w:ind w:left="16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FA2E37" w:rsidRDefault="00AA1762" w:rsidP="00FA2E37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Shift Pay System Enhancement</w:t>
      </w:r>
    </w:p>
    <w:p w:rsidR="00FA2E37" w:rsidRPr="00C50FDD" w:rsidRDefault="00FA2E37" w:rsidP="00FA2E37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FA2E37" w:rsidTr="00FA2E37">
        <w:trPr>
          <w:cantSplit/>
        </w:trPr>
        <w:tc>
          <w:tcPr>
            <w:tcW w:w="1458" w:type="dxa"/>
          </w:tcPr>
          <w:p w:rsidR="00FA2E37" w:rsidRDefault="005137D3" w:rsidP="00FA2E37">
            <w:pPr>
              <w:pStyle w:val="Heading5"/>
            </w:pPr>
            <w:r>
              <w:t>New Shift Pay Indicators</w:t>
            </w:r>
          </w:p>
        </w:tc>
        <w:tc>
          <w:tcPr>
            <w:tcW w:w="8730" w:type="dxa"/>
          </w:tcPr>
          <w:p w:rsidR="00657CBC" w:rsidRDefault="00657CBC" w:rsidP="00FA2E37">
            <w:pPr>
              <w:ind w:left="162"/>
            </w:pPr>
            <w:r>
              <w:t xml:space="preserve">Previously, </w:t>
            </w:r>
            <w:r w:rsidR="00705689">
              <w:t xml:space="preserve">regular pay would still process </w:t>
            </w:r>
            <w:r>
              <w:t xml:space="preserve">when shift pay transactions were keyed for employees that were on </w:t>
            </w:r>
            <w:r w:rsidR="007742D1">
              <w:t>“</w:t>
            </w:r>
            <w:r>
              <w:t>non</w:t>
            </w:r>
            <w:r w:rsidR="007742D1">
              <w:t>-</w:t>
            </w:r>
            <w:r w:rsidR="00705689">
              <w:t>auto</w:t>
            </w:r>
            <w:r w:rsidR="007742D1">
              <w:t>”</w:t>
            </w:r>
            <w:r w:rsidR="00705689">
              <w:t xml:space="preserve"> timecard status on H0BID</w:t>
            </w:r>
            <w:r>
              <w:t xml:space="preserve">.  In these cases, agencies had to key manual overrides on HUA03 </w:t>
            </w:r>
            <w:r w:rsidR="007742D1">
              <w:t xml:space="preserve">paying the employee $.01 </w:t>
            </w:r>
            <w:r>
              <w:t>to prevent an overpayment of regular pay.</w:t>
            </w:r>
          </w:p>
          <w:p w:rsidR="00253B72" w:rsidRDefault="00253B72" w:rsidP="00FA2E37">
            <w:pPr>
              <w:ind w:left="162"/>
            </w:pPr>
          </w:p>
          <w:p w:rsidR="00253B72" w:rsidRDefault="00253B72" w:rsidP="00FA2E37">
            <w:pPr>
              <w:ind w:left="162"/>
            </w:pPr>
            <w:r>
              <w:t>CIPPS has been enhanced to include two new indicators for shift pay transactions:</w:t>
            </w:r>
          </w:p>
          <w:p w:rsidR="00253B72" w:rsidRDefault="00253B72" w:rsidP="00FA2E37">
            <w:pPr>
              <w:ind w:left="162"/>
            </w:pPr>
          </w:p>
          <w:p w:rsidR="00253B72" w:rsidRDefault="00253B72" w:rsidP="00253B72">
            <w:pPr>
              <w:ind w:left="162"/>
            </w:pPr>
            <w:r>
              <w:t>4 – Pay second shift premium if SHIFT field on the H0BBN screen equals a 2, 3 or 4.  Hours entered are for shift pay only.</w:t>
            </w:r>
          </w:p>
          <w:p w:rsidR="00253B72" w:rsidRDefault="00253B72" w:rsidP="00253B72">
            <w:pPr>
              <w:ind w:left="162"/>
            </w:pPr>
          </w:p>
          <w:p w:rsidR="00253B72" w:rsidRDefault="00253B72" w:rsidP="00253B72">
            <w:pPr>
              <w:ind w:left="162"/>
            </w:pPr>
            <w:r>
              <w:t>5 – Pay third shift premium if SHIFT field on the H0BBN screen equals a 2, 3 or 4.  Hours entered are for shift pay only.</w:t>
            </w:r>
          </w:p>
          <w:p w:rsidR="00657CBC" w:rsidRDefault="00657CBC" w:rsidP="00FA2E37">
            <w:pPr>
              <w:ind w:left="162"/>
            </w:pPr>
          </w:p>
          <w:p w:rsidR="00253B72" w:rsidRDefault="00253B72" w:rsidP="00FA2E37">
            <w:pPr>
              <w:ind w:left="162"/>
            </w:pPr>
            <w:r>
              <w:t xml:space="preserve">Traditionally, agencies keyed a “2” for second shift premium and a “3” for third shift premium on HUA03.   To avoid an overpayment in regular pay for a non-auto employee, agencies are advised to key a “4” instead of “2” to invoke the second shift premium and a “5” instead of “3” to invoke the third shift premium. </w:t>
            </w:r>
          </w:p>
          <w:p w:rsidR="007710D3" w:rsidRDefault="007710D3" w:rsidP="00FA2E37">
            <w:pPr>
              <w:ind w:left="162"/>
            </w:pPr>
          </w:p>
          <w:p w:rsidR="007710D3" w:rsidRDefault="007710D3" w:rsidP="00FA2E37">
            <w:pPr>
              <w:ind w:left="162"/>
            </w:pPr>
            <w:r>
              <w:t xml:space="preserve">No changes are necessary to the H0BBN or H0CCH screens. </w:t>
            </w:r>
          </w:p>
          <w:p w:rsidR="00253B72" w:rsidRDefault="00253B72" w:rsidP="00FA2E37">
            <w:pPr>
              <w:ind w:left="162"/>
            </w:pPr>
          </w:p>
          <w:p w:rsidR="00124DC8" w:rsidRDefault="00657CBC" w:rsidP="00293BB2">
            <w:pPr>
              <w:ind w:left="162"/>
            </w:pPr>
            <w:r>
              <w:t xml:space="preserve">Agencies that send </w:t>
            </w:r>
            <w:r w:rsidR="007742D1">
              <w:t xml:space="preserve">batch </w:t>
            </w:r>
            <w:r w:rsidR="00253B72">
              <w:t xml:space="preserve">transactions </w:t>
            </w:r>
            <w:r w:rsidR="007742D1">
              <w:t>to CIPPS can modify the in-house programs to accommodate the use of these new shift indicators when no regular pay is to be processed</w:t>
            </w:r>
            <w:r w:rsidR="00077A5A">
              <w:t>.</w:t>
            </w:r>
            <w:r w:rsidR="00253B72">
              <w:t xml:space="preserve">   Please contact State Payroll Operations </w:t>
            </w:r>
            <w:r w:rsidR="007742D1">
              <w:t xml:space="preserve">at </w:t>
            </w:r>
            <w:hyperlink r:id="rId10" w:history="1">
              <w:r w:rsidR="007742D1" w:rsidRPr="0048473F">
                <w:rPr>
                  <w:rStyle w:val="Hyperlink"/>
                </w:rPr>
                <w:t>payroll@doa.virginia.gov</w:t>
              </w:r>
            </w:hyperlink>
            <w:r w:rsidR="007742D1">
              <w:t xml:space="preserve"> </w:t>
            </w:r>
            <w:r w:rsidR="00293BB2">
              <w:t>if you have questions regarding the use of these new indicators.</w:t>
            </w:r>
          </w:p>
        </w:tc>
      </w:tr>
    </w:tbl>
    <w:p w:rsidR="00FA2E37" w:rsidRPr="00C50FDD" w:rsidRDefault="00FA2E37" w:rsidP="00FA2E37">
      <w:pPr>
        <w:pStyle w:val="BlockLine"/>
        <w:spacing w:before="120"/>
        <w:ind w:left="1620"/>
        <w:rPr>
          <w:sz w:val="16"/>
          <w:szCs w:val="16"/>
        </w:rPr>
      </w:pPr>
    </w:p>
    <w:p w:rsidR="007B4814" w:rsidRPr="007B4814" w:rsidRDefault="007B4814" w:rsidP="007B4814"/>
    <w:sectPr w:rsidR="007B4814" w:rsidRPr="007B4814" w:rsidSect="00B97E16">
      <w:headerReference w:type="default" r:id="rId11"/>
      <w:footerReference w:type="default" r:id="rId12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8E" w:rsidRDefault="008E158E">
      <w:r>
        <w:separator/>
      </w:r>
    </w:p>
  </w:endnote>
  <w:endnote w:type="continuationSeparator" w:id="0">
    <w:p w:rsidR="008E158E" w:rsidRDefault="008E1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43" w:rsidRDefault="00017543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 w:rsidR="005A5B9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A5B93">
      <w:rPr>
        <w:rStyle w:val="PageNumber"/>
      </w:rPr>
      <w:fldChar w:fldCharType="separate"/>
    </w:r>
    <w:r w:rsidR="00385C57">
      <w:rPr>
        <w:rStyle w:val="PageNumber"/>
        <w:noProof/>
      </w:rPr>
      <w:t>2</w:t>
    </w:r>
    <w:r w:rsidR="005A5B93">
      <w:rPr>
        <w:rStyle w:val="PageNumber"/>
      </w:rPr>
      <w:fldChar w:fldCharType="end"/>
    </w:r>
    <w:r>
      <w:rPr>
        <w:rStyle w:val="PageNumber"/>
      </w:rPr>
      <w:t xml:space="preserve"> of </w:t>
    </w:r>
    <w:r w:rsidR="005A5B9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A5B93">
      <w:rPr>
        <w:rStyle w:val="PageNumber"/>
      </w:rPr>
      <w:fldChar w:fldCharType="separate"/>
    </w:r>
    <w:r w:rsidR="00385C57">
      <w:rPr>
        <w:rStyle w:val="PageNumber"/>
        <w:noProof/>
      </w:rPr>
      <w:t>3</w:t>
    </w:r>
    <w:r w:rsidR="005A5B93">
      <w:rPr>
        <w:rStyle w:val="PageNumber"/>
      </w:rPr>
      <w:fldChar w:fldCharType="end"/>
    </w:r>
  </w:p>
  <w:p w:rsidR="00017543" w:rsidRPr="009F7AFD" w:rsidRDefault="005A5B93" w:rsidP="009928F5">
    <w:pPr>
      <w:pStyle w:val="NormalWeb"/>
      <w:jc w:val="center"/>
      <w:rPr>
        <w:snapToGrid w:val="0"/>
      </w:rPr>
    </w:pPr>
    <w:hyperlink r:id="rId1" w:tooltip="http://www.doa.virginia.gov/Payroll/Payroll_Bulletins/Payroll_Bulletins_Main.cfm" w:history="1">
      <w:r w:rsidR="00017543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8E" w:rsidRDefault="008E158E">
      <w:r>
        <w:separator/>
      </w:r>
    </w:p>
  </w:footnote>
  <w:footnote w:type="continuationSeparator" w:id="0">
    <w:p w:rsidR="008E158E" w:rsidRDefault="008E1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43" w:rsidRDefault="00017543" w:rsidP="00B97E16"/>
  <w:tbl>
    <w:tblPr>
      <w:tblW w:w="10188" w:type="dxa"/>
      <w:tblLayout w:type="fixed"/>
      <w:tblLook w:val="0000"/>
    </w:tblPr>
    <w:tblGrid>
      <w:gridCol w:w="3366"/>
      <w:gridCol w:w="3366"/>
      <w:gridCol w:w="3456"/>
    </w:tblGrid>
    <w:tr w:rsidR="00017543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017543" w:rsidRDefault="00017543" w:rsidP="00B11532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2014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017543" w:rsidRDefault="00017543" w:rsidP="00556623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May 27, 2014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017543" w:rsidRDefault="00017543" w:rsidP="0028270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2014-09</w:t>
          </w:r>
        </w:p>
      </w:tc>
    </w:tr>
  </w:tbl>
  <w:p w:rsidR="00017543" w:rsidRDefault="00017543" w:rsidP="00B97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78"/>
    <w:rsid w:val="0000308D"/>
    <w:rsid w:val="000134A3"/>
    <w:rsid w:val="00017543"/>
    <w:rsid w:val="000229A0"/>
    <w:rsid w:val="00023DC7"/>
    <w:rsid w:val="000248B8"/>
    <w:rsid w:val="00031810"/>
    <w:rsid w:val="000330E6"/>
    <w:rsid w:val="00037673"/>
    <w:rsid w:val="000516A3"/>
    <w:rsid w:val="00053D2A"/>
    <w:rsid w:val="00060240"/>
    <w:rsid w:val="00077A5A"/>
    <w:rsid w:val="00090054"/>
    <w:rsid w:val="00090692"/>
    <w:rsid w:val="0009764B"/>
    <w:rsid w:val="000A3E0D"/>
    <w:rsid w:val="000D0C78"/>
    <w:rsid w:val="000D2D5E"/>
    <w:rsid w:val="000E4259"/>
    <w:rsid w:val="000F68C9"/>
    <w:rsid w:val="00104C5B"/>
    <w:rsid w:val="00111132"/>
    <w:rsid w:val="00123B03"/>
    <w:rsid w:val="00124DC8"/>
    <w:rsid w:val="001434D8"/>
    <w:rsid w:val="00166819"/>
    <w:rsid w:val="0017285D"/>
    <w:rsid w:val="00177EA1"/>
    <w:rsid w:val="00184A1D"/>
    <w:rsid w:val="0019385E"/>
    <w:rsid w:val="001A2715"/>
    <w:rsid w:val="001A3EA1"/>
    <w:rsid w:val="001C3B20"/>
    <w:rsid w:val="001C416E"/>
    <w:rsid w:val="001C6B3E"/>
    <w:rsid w:val="001E07BF"/>
    <w:rsid w:val="001E47DD"/>
    <w:rsid w:val="001E5C91"/>
    <w:rsid w:val="001E676B"/>
    <w:rsid w:val="001F28FA"/>
    <w:rsid w:val="001F423F"/>
    <w:rsid w:val="00202B71"/>
    <w:rsid w:val="00212C7C"/>
    <w:rsid w:val="00222C2D"/>
    <w:rsid w:val="002244EF"/>
    <w:rsid w:val="00224F21"/>
    <w:rsid w:val="00225F15"/>
    <w:rsid w:val="00246724"/>
    <w:rsid w:val="00251987"/>
    <w:rsid w:val="00253B72"/>
    <w:rsid w:val="00254C18"/>
    <w:rsid w:val="0028270A"/>
    <w:rsid w:val="00282FE5"/>
    <w:rsid w:val="002875BF"/>
    <w:rsid w:val="00292042"/>
    <w:rsid w:val="00293BB2"/>
    <w:rsid w:val="002A06B9"/>
    <w:rsid w:val="002A149C"/>
    <w:rsid w:val="002B0D8C"/>
    <w:rsid w:val="002B46AD"/>
    <w:rsid w:val="002B69A0"/>
    <w:rsid w:val="002B7654"/>
    <w:rsid w:val="002C1D7B"/>
    <w:rsid w:val="002C7CC2"/>
    <w:rsid w:val="002D27FC"/>
    <w:rsid w:val="002D399D"/>
    <w:rsid w:val="002F385B"/>
    <w:rsid w:val="002F7B7E"/>
    <w:rsid w:val="0030023E"/>
    <w:rsid w:val="00312378"/>
    <w:rsid w:val="00315DB1"/>
    <w:rsid w:val="00324E82"/>
    <w:rsid w:val="00351CE2"/>
    <w:rsid w:val="00366261"/>
    <w:rsid w:val="003667F5"/>
    <w:rsid w:val="00374800"/>
    <w:rsid w:val="00385A63"/>
    <w:rsid w:val="00385C57"/>
    <w:rsid w:val="00387A2A"/>
    <w:rsid w:val="00390FC5"/>
    <w:rsid w:val="003B09C4"/>
    <w:rsid w:val="003B1670"/>
    <w:rsid w:val="003C272E"/>
    <w:rsid w:val="003C566C"/>
    <w:rsid w:val="003D56A6"/>
    <w:rsid w:val="003E3DE8"/>
    <w:rsid w:val="00402517"/>
    <w:rsid w:val="004043FE"/>
    <w:rsid w:val="00406F86"/>
    <w:rsid w:val="00426975"/>
    <w:rsid w:val="00430920"/>
    <w:rsid w:val="004313CF"/>
    <w:rsid w:val="0043451B"/>
    <w:rsid w:val="0044520A"/>
    <w:rsid w:val="004520E7"/>
    <w:rsid w:val="00457EE5"/>
    <w:rsid w:val="004809FF"/>
    <w:rsid w:val="00486725"/>
    <w:rsid w:val="00487C09"/>
    <w:rsid w:val="004A715D"/>
    <w:rsid w:val="004E5846"/>
    <w:rsid w:val="004E7B9F"/>
    <w:rsid w:val="0050233B"/>
    <w:rsid w:val="005137D3"/>
    <w:rsid w:val="00545EED"/>
    <w:rsid w:val="00556623"/>
    <w:rsid w:val="0056085F"/>
    <w:rsid w:val="00562AD7"/>
    <w:rsid w:val="00564691"/>
    <w:rsid w:val="00565BF7"/>
    <w:rsid w:val="005668A2"/>
    <w:rsid w:val="00572278"/>
    <w:rsid w:val="0057239D"/>
    <w:rsid w:val="00575ECA"/>
    <w:rsid w:val="00580309"/>
    <w:rsid w:val="00580CFE"/>
    <w:rsid w:val="00581A47"/>
    <w:rsid w:val="00587902"/>
    <w:rsid w:val="0059148E"/>
    <w:rsid w:val="00593CF7"/>
    <w:rsid w:val="005A5B93"/>
    <w:rsid w:val="005C1612"/>
    <w:rsid w:val="005C2403"/>
    <w:rsid w:val="005D6F7B"/>
    <w:rsid w:val="005F1589"/>
    <w:rsid w:val="005F27CC"/>
    <w:rsid w:val="00603CBF"/>
    <w:rsid w:val="00612422"/>
    <w:rsid w:val="00624F5A"/>
    <w:rsid w:val="00654A9F"/>
    <w:rsid w:val="00657CBC"/>
    <w:rsid w:val="006629BD"/>
    <w:rsid w:val="00674030"/>
    <w:rsid w:val="0068029E"/>
    <w:rsid w:val="0068152E"/>
    <w:rsid w:val="00686C10"/>
    <w:rsid w:val="00686D94"/>
    <w:rsid w:val="0069030B"/>
    <w:rsid w:val="0069555B"/>
    <w:rsid w:val="006B03F2"/>
    <w:rsid w:val="006B1D81"/>
    <w:rsid w:val="006B24C0"/>
    <w:rsid w:val="006B7109"/>
    <w:rsid w:val="006C3BEE"/>
    <w:rsid w:val="006D39A3"/>
    <w:rsid w:val="006E2A31"/>
    <w:rsid w:val="006F2F52"/>
    <w:rsid w:val="00705689"/>
    <w:rsid w:val="00717F70"/>
    <w:rsid w:val="00725A37"/>
    <w:rsid w:val="00731DB0"/>
    <w:rsid w:val="00747E3C"/>
    <w:rsid w:val="00752120"/>
    <w:rsid w:val="00757BFB"/>
    <w:rsid w:val="007667FA"/>
    <w:rsid w:val="007710D3"/>
    <w:rsid w:val="007742D1"/>
    <w:rsid w:val="007750D1"/>
    <w:rsid w:val="0078110A"/>
    <w:rsid w:val="0079072D"/>
    <w:rsid w:val="007A4B30"/>
    <w:rsid w:val="007B4814"/>
    <w:rsid w:val="007B626C"/>
    <w:rsid w:val="007C28D4"/>
    <w:rsid w:val="007D487C"/>
    <w:rsid w:val="007F51A7"/>
    <w:rsid w:val="00801B20"/>
    <w:rsid w:val="00805277"/>
    <w:rsid w:val="00831E14"/>
    <w:rsid w:val="00836D7F"/>
    <w:rsid w:val="00841ACB"/>
    <w:rsid w:val="008600B8"/>
    <w:rsid w:val="00863351"/>
    <w:rsid w:val="008675DE"/>
    <w:rsid w:val="00872A79"/>
    <w:rsid w:val="00892A59"/>
    <w:rsid w:val="008948EA"/>
    <w:rsid w:val="0089615E"/>
    <w:rsid w:val="008C2065"/>
    <w:rsid w:val="008C29E8"/>
    <w:rsid w:val="008E158E"/>
    <w:rsid w:val="008E5714"/>
    <w:rsid w:val="00905852"/>
    <w:rsid w:val="00913509"/>
    <w:rsid w:val="009219E7"/>
    <w:rsid w:val="00925789"/>
    <w:rsid w:val="00930697"/>
    <w:rsid w:val="00946E65"/>
    <w:rsid w:val="009601E3"/>
    <w:rsid w:val="00971996"/>
    <w:rsid w:val="00974C38"/>
    <w:rsid w:val="00976C71"/>
    <w:rsid w:val="009928F5"/>
    <w:rsid w:val="00993D57"/>
    <w:rsid w:val="009B1406"/>
    <w:rsid w:val="009D22EB"/>
    <w:rsid w:val="009D3989"/>
    <w:rsid w:val="009D556A"/>
    <w:rsid w:val="009E564C"/>
    <w:rsid w:val="009F0A22"/>
    <w:rsid w:val="009F6827"/>
    <w:rsid w:val="009F766D"/>
    <w:rsid w:val="009F7AFD"/>
    <w:rsid w:val="009F7CC0"/>
    <w:rsid w:val="00A22C91"/>
    <w:rsid w:val="00A317F9"/>
    <w:rsid w:val="00A4564F"/>
    <w:rsid w:val="00A56D21"/>
    <w:rsid w:val="00A652B4"/>
    <w:rsid w:val="00A67421"/>
    <w:rsid w:val="00A72FF9"/>
    <w:rsid w:val="00A80AA5"/>
    <w:rsid w:val="00A850F9"/>
    <w:rsid w:val="00AA1762"/>
    <w:rsid w:val="00AB7FAF"/>
    <w:rsid w:val="00AD6046"/>
    <w:rsid w:val="00AE0F14"/>
    <w:rsid w:val="00B00010"/>
    <w:rsid w:val="00B001A0"/>
    <w:rsid w:val="00B03090"/>
    <w:rsid w:val="00B07E95"/>
    <w:rsid w:val="00B11532"/>
    <w:rsid w:val="00B14904"/>
    <w:rsid w:val="00B17AF8"/>
    <w:rsid w:val="00B20211"/>
    <w:rsid w:val="00B40842"/>
    <w:rsid w:val="00B52F50"/>
    <w:rsid w:val="00B56E29"/>
    <w:rsid w:val="00B77999"/>
    <w:rsid w:val="00B87D23"/>
    <w:rsid w:val="00B900DE"/>
    <w:rsid w:val="00B92EAE"/>
    <w:rsid w:val="00B97E16"/>
    <w:rsid w:val="00BB3D04"/>
    <w:rsid w:val="00BC5E04"/>
    <w:rsid w:val="00BC7A6A"/>
    <w:rsid w:val="00BD43E3"/>
    <w:rsid w:val="00C01CEB"/>
    <w:rsid w:val="00C033C7"/>
    <w:rsid w:val="00C07D38"/>
    <w:rsid w:val="00C120F3"/>
    <w:rsid w:val="00C30F8D"/>
    <w:rsid w:val="00C50FDD"/>
    <w:rsid w:val="00C56613"/>
    <w:rsid w:val="00C616FB"/>
    <w:rsid w:val="00C90D0F"/>
    <w:rsid w:val="00C91E35"/>
    <w:rsid w:val="00CB6BD9"/>
    <w:rsid w:val="00CC79DD"/>
    <w:rsid w:val="00CD3AC2"/>
    <w:rsid w:val="00CE425D"/>
    <w:rsid w:val="00CE5E54"/>
    <w:rsid w:val="00CF4033"/>
    <w:rsid w:val="00CF5444"/>
    <w:rsid w:val="00D1529F"/>
    <w:rsid w:val="00D222BD"/>
    <w:rsid w:val="00D311B8"/>
    <w:rsid w:val="00D3238A"/>
    <w:rsid w:val="00D40EFC"/>
    <w:rsid w:val="00D44A6C"/>
    <w:rsid w:val="00D65654"/>
    <w:rsid w:val="00D91CF8"/>
    <w:rsid w:val="00D925A8"/>
    <w:rsid w:val="00D96E2A"/>
    <w:rsid w:val="00D97801"/>
    <w:rsid w:val="00DA6523"/>
    <w:rsid w:val="00DB0B3E"/>
    <w:rsid w:val="00DC4F0F"/>
    <w:rsid w:val="00DD1147"/>
    <w:rsid w:val="00DF2CD4"/>
    <w:rsid w:val="00E11CBF"/>
    <w:rsid w:val="00E179AB"/>
    <w:rsid w:val="00E2451F"/>
    <w:rsid w:val="00E30565"/>
    <w:rsid w:val="00E779F5"/>
    <w:rsid w:val="00E834E5"/>
    <w:rsid w:val="00E97CB7"/>
    <w:rsid w:val="00EB6D2F"/>
    <w:rsid w:val="00ED247F"/>
    <w:rsid w:val="00ED7915"/>
    <w:rsid w:val="00EE2DCF"/>
    <w:rsid w:val="00EE48EE"/>
    <w:rsid w:val="00EE7888"/>
    <w:rsid w:val="00EF26A6"/>
    <w:rsid w:val="00F04298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51391"/>
    <w:rsid w:val="00F521C7"/>
    <w:rsid w:val="00F87211"/>
    <w:rsid w:val="00F92BE9"/>
    <w:rsid w:val="00F94FAF"/>
    <w:rsid w:val="00FA2E37"/>
    <w:rsid w:val="00FA490C"/>
    <w:rsid w:val="00FA4CF0"/>
    <w:rsid w:val="00FA65B1"/>
    <w:rsid w:val="00FB4EFD"/>
    <w:rsid w:val="00FD1318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846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4E5846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4E5846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4E5846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4E5846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4E5846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4E584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E584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E584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E584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846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4E5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4E5846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4E5846"/>
  </w:style>
  <w:style w:type="paragraph" w:customStyle="1" w:styleId="BulletText1">
    <w:name w:val="Bullet Text 1"/>
    <w:basedOn w:val="Normal"/>
    <w:rsid w:val="004E5846"/>
    <w:pPr>
      <w:ind w:left="187" w:hanging="187"/>
    </w:pPr>
  </w:style>
  <w:style w:type="paragraph" w:customStyle="1" w:styleId="BulletText2">
    <w:name w:val="Bullet Text 2"/>
    <w:basedOn w:val="BulletText1"/>
    <w:rsid w:val="004E5846"/>
    <w:pPr>
      <w:ind w:left="360"/>
    </w:pPr>
  </w:style>
  <w:style w:type="paragraph" w:customStyle="1" w:styleId="ContinuedOnNextPa">
    <w:name w:val="Continued On Next Pa"/>
    <w:basedOn w:val="Normal"/>
    <w:next w:val="Normal"/>
    <w:rsid w:val="004E5846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rsid w:val="004E5846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4E5846"/>
    <w:pPr>
      <w:ind w:left="0"/>
    </w:pPr>
  </w:style>
  <w:style w:type="paragraph" w:styleId="Footer">
    <w:name w:val="footer"/>
    <w:basedOn w:val="Normal"/>
    <w:rsid w:val="004E58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846"/>
  </w:style>
  <w:style w:type="paragraph" w:customStyle="1" w:styleId="TableText">
    <w:name w:val="Table Text"/>
    <w:basedOn w:val="Normal"/>
    <w:rsid w:val="004E5846"/>
  </w:style>
  <w:style w:type="paragraph" w:customStyle="1" w:styleId="NoteText">
    <w:name w:val="Note Text"/>
    <w:basedOn w:val="BlockText"/>
    <w:rsid w:val="004E5846"/>
  </w:style>
  <w:style w:type="paragraph" w:customStyle="1" w:styleId="TableHeaderText">
    <w:name w:val="Table Header Text"/>
    <w:basedOn w:val="TableText"/>
    <w:rsid w:val="004E5846"/>
    <w:pPr>
      <w:jc w:val="center"/>
    </w:pPr>
    <w:rPr>
      <w:b/>
    </w:rPr>
  </w:style>
  <w:style w:type="paragraph" w:customStyle="1" w:styleId="EmbeddedText">
    <w:name w:val="Embedded Text"/>
    <w:basedOn w:val="TableText"/>
    <w:rsid w:val="004E5846"/>
  </w:style>
  <w:style w:type="paragraph" w:styleId="TOC1">
    <w:name w:val="toc 1"/>
    <w:basedOn w:val="Normal"/>
    <w:next w:val="Normal"/>
    <w:semiHidden/>
    <w:rsid w:val="004E5846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4E5846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4E5846"/>
    <w:rPr>
      <w:b/>
      <w:sz w:val="18"/>
    </w:rPr>
  </w:style>
  <w:style w:type="paragraph" w:styleId="BodyText2">
    <w:name w:val="Body Text 2"/>
    <w:basedOn w:val="Normal"/>
    <w:rsid w:val="004E5846"/>
    <w:rPr>
      <w:b/>
      <w:sz w:val="16"/>
    </w:rPr>
  </w:style>
  <w:style w:type="paragraph" w:styleId="Title">
    <w:name w:val="Title"/>
    <w:basedOn w:val="Normal"/>
    <w:qFormat/>
    <w:rsid w:val="004E5846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4E5846"/>
    <w:rPr>
      <w:color w:val="0000FF"/>
      <w:u w:val="single"/>
    </w:rPr>
  </w:style>
  <w:style w:type="paragraph" w:customStyle="1" w:styleId="Extmemo">
    <w:name w:val="Extmemo"/>
    <w:basedOn w:val="Normal"/>
    <w:rsid w:val="004E5846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4E5846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4E5846"/>
    <w:rPr>
      <w:color w:val="800080"/>
      <w:u w:val="single"/>
    </w:rPr>
  </w:style>
  <w:style w:type="paragraph" w:styleId="DocumentMap">
    <w:name w:val="Document Map"/>
    <w:basedOn w:val="Normal"/>
    <w:semiHidden/>
    <w:rsid w:val="004E584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yroll@doa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a.virginia.gov/Payroll/Payroll_Bulletins/2012/2012_1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A6F6-6147-4B0C-B865-150A4FA7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2</TotalTime>
  <Pages>3</Pages>
  <Words>1050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Virginia Department of Accounts</Company>
  <LinksUpToDate>false</LinksUpToDate>
  <CharactersWithSpaces>6851</CharactersWithSpaces>
  <SharedDoc>false</SharedDoc>
  <HLinks>
    <vt:vector size="48" baseType="variant"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2014-09</dc:title>
  <dc:subject>Payroll Bulletin 2014-09</dc:subject>
  <dc:creator>Virginia Department of Accounts</dc:creator>
  <cp:keywords>Payroll Bulletin 2014-09</cp:keywords>
  <cp:lastModifiedBy>sww59895</cp:lastModifiedBy>
  <cp:revision>2</cp:revision>
  <cp:lastPrinted>2013-03-05T16:30:00Z</cp:lastPrinted>
  <dcterms:created xsi:type="dcterms:W3CDTF">2014-05-27T12:16:00Z</dcterms:created>
  <dcterms:modified xsi:type="dcterms:W3CDTF">2014-05-27T12:16:00Z</dcterms:modified>
  <cp:category>Payroll Bulletin 2014-09</cp:category>
</cp:coreProperties>
</file>