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B20211" w:rsidRDefault="00B20211" w:rsidP="00B20211">
      <w:pPr>
        <w:pStyle w:val="Header"/>
        <w:jc w:val="center"/>
        <w:rPr>
          <w:sz w:val="16"/>
        </w:rPr>
      </w:pPr>
    </w:p>
    <w:tbl>
      <w:tblPr>
        <w:tblW w:w="0" w:type="auto"/>
        <w:tblInd w:w="18" w:type="dxa"/>
        <w:tblLayout w:type="fixed"/>
        <w:tblLook w:val="0000"/>
      </w:tblPr>
      <w:tblGrid>
        <w:gridCol w:w="3348"/>
        <w:gridCol w:w="3366"/>
        <w:gridCol w:w="3366"/>
      </w:tblGrid>
      <w:tr w:rsidR="00B20211" w:rsidTr="007F51A7">
        <w:trPr>
          <w:cantSplit/>
        </w:trPr>
        <w:tc>
          <w:tcPr>
            <w:tcW w:w="3348" w:type="dxa"/>
            <w:tcBorders>
              <w:bottom w:val="double" w:sz="6" w:space="0" w:color="auto"/>
            </w:tcBorders>
          </w:tcPr>
          <w:p w:rsidR="00B20211" w:rsidRDefault="00B20211" w:rsidP="00E834E5">
            <w:pPr>
              <w:pStyle w:val="Header"/>
              <w:rPr>
                <w:b/>
                <w:sz w:val="20"/>
              </w:rPr>
            </w:pPr>
            <w:r>
              <w:rPr>
                <w:b/>
                <w:sz w:val="20"/>
              </w:rPr>
              <w:t>Calendar Year 20</w:t>
            </w:r>
            <w:r w:rsidR="00A4564F">
              <w:rPr>
                <w:b/>
                <w:sz w:val="20"/>
              </w:rPr>
              <w:t>1</w:t>
            </w:r>
            <w:r w:rsidR="00360170">
              <w:rPr>
                <w:b/>
                <w:sz w:val="20"/>
              </w:rPr>
              <w:t>5</w:t>
            </w:r>
          </w:p>
        </w:tc>
        <w:tc>
          <w:tcPr>
            <w:tcW w:w="3366" w:type="dxa"/>
            <w:tcBorders>
              <w:bottom w:val="double" w:sz="6" w:space="0" w:color="auto"/>
            </w:tcBorders>
          </w:tcPr>
          <w:p w:rsidR="00B20211" w:rsidRDefault="00FB70C0" w:rsidP="00FB70C0">
            <w:pPr>
              <w:pStyle w:val="Header"/>
              <w:jc w:val="center"/>
              <w:rPr>
                <w:b/>
                <w:sz w:val="20"/>
              </w:rPr>
            </w:pPr>
            <w:r>
              <w:rPr>
                <w:b/>
                <w:sz w:val="20"/>
              </w:rPr>
              <w:t>July 1</w:t>
            </w:r>
            <w:r w:rsidR="00360170">
              <w:rPr>
                <w:b/>
                <w:sz w:val="20"/>
              </w:rPr>
              <w:t>, 2015</w:t>
            </w:r>
          </w:p>
        </w:tc>
        <w:tc>
          <w:tcPr>
            <w:tcW w:w="3366" w:type="dxa"/>
            <w:tcBorders>
              <w:bottom w:val="double" w:sz="6" w:space="0" w:color="auto"/>
            </w:tcBorders>
          </w:tcPr>
          <w:p w:rsidR="00B20211" w:rsidRDefault="00B20211" w:rsidP="000306B7">
            <w:pPr>
              <w:pStyle w:val="Header"/>
              <w:jc w:val="right"/>
              <w:rPr>
                <w:b/>
                <w:sz w:val="20"/>
              </w:rPr>
            </w:pPr>
            <w:r>
              <w:rPr>
                <w:b/>
                <w:sz w:val="20"/>
              </w:rPr>
              <w:t>Volume 20</w:t>
            </w:r>
            <w:r w:rsidR="00A4564F">
              <w:rPr>
                <w:b/>
                <w:sz w:val="20"/>
              </w:rPr>
              <w:t>1</w:t>
            </w:r>
            <w:r w:rsidR="00360170">
              <w:rPr>
                <w:b/>
                <w:sz w:val="20"/>
              </w:rPr>
              <w:t>5-</w:t>
            </w:r>
            <w:r w:rsidR="000306B7">
              <w:rPr>
                <w:b/>
                <w:sz w:val="20"/>
              </w:rPr>
              <w:t>0</w:t>
            </w:r>
            <w:r w:rsidR="00B72814">
              <w:rPr>
                <w:b/>
                <w:sz w:val="20"/>
              </w:rPr>
              <w:t>7</w:t>
            </w:r>
          </w:p>
        </w:tc>
      </w:tr>
    </w:tbl>
    <w:p w:rsidR="00B20211" w:rsidRDefault="00B20211" w:rsidP="00B20211">
      <w:pPr>
        <w:tabs>
          <w:tab w:val="left" w:pos="990"/>
        </w:tabs>
        <w:jc w:val="center"/>
      </w:pPr>
    </w:p>
    <w:tbl>
      <w:tblPr>
        <w:tblW w:w="0" w:type="auto"/>
        <w:tblLook w:val="01E0"/>
      </w:tblPr>
      <w:tblGrid>
        <w:gridCol w:w="2245"/>
        <w:gridCol w:w="4112"/>
        <w:gridCol w:w="3795"/>
      </w:tblGrid>
      <w:tr w:rsidR="00B20211" w:rsidTr="00612422">
        <w:tc>
          <w:tcPr>
            <w:tcW w:w="2245" w:type="dxa"/>
          </w:tcPr>
          <w:p w:rsidR="00B20211" w:rsidRPr="00E00C7E" w:rsidRDefault="00B20211" w:rsidP="00612422">
            <w:pPr>
              <w:tabs>
                <w:tab w:val="left" w:pos="990"/>
              </w:tabs>
              <w:spacing w:before="120"/>
              <w:rPr>
                <w:i/>
                <w:sz w:val="28"/>
                <w:szCs w:val="28"/>
              </w:rPr>
            </w:pPr>
            <w:r w:rsidRPr="00E00C7E">
              <w:rPr>
                <w:i/>
                <w:sz w:val="28"/>
                <w:szCs w:val="28"/>
              </w:rPr>
              <w:t>In This Issue of the Payroll Bulletin…....</w:t>
            </w:r>
          </w:p>
          <w:p w:rsidR="00B20211" w:rsidRPr="00612422" w:rsidRDefault="00B20211" w:rsidP="00612422">
            <w:pPr>
              <w:spacing w:before="120"/>
              <w:rPr>
                <w:b/>
              </w:rPr>
            </w:pPr>
          </w:p>
        </w:tc>
        <w:tc>
          <w:tcPr>
            <w:tcW w:w="4112" w:type="dxa"/>
          </w:tcPr>
          <w:p w:rsidR="00111765" w:rsidRDefault="00111765" w:rsidP="0030373C">
            <w:pPr>
              <w:numPr>
                <w:ilvl w:val="0"/>
                <w:numId w:val="2"/>
              </w:numPr>
              <w:tabs>
                <w:tab w:val="left" w:pos="990"/>
              </w:tabs>
              <w:spacing w:before="60"/>
              <w:ind w:left="547"/>
              <w:rPr>
                <w:b/>
                <w:szCs w:val="24"/>
              </w:rPr>
            </w:pPr>
            <w:r>
              <w:rPr>
                <w:b/>
                <w:szCs w:val="24"/>
              </w:rPr>
              <w:t>Roth 457 – Additional Supplemental Retirement Option</w:t>
            </w:r>
          </w:p>
          <w:p w:rsidR="00DC5D30" w:rsidRPr="00574373" w:rsidRDefault="00DC5D30" w:rsidP="0030373C">
            <w:pPr>
              <w:numPr>
                <w:ilvl w:val="0"/>
                <w:numId w:val="2"/>
              </w:numPr>
              <w:tabs>
                <w:tab w:val="left" w:pos="990"/>
              </w:tabs>
              <w:spacing w:before="60"/>
              <w:ind w:left="547"/>
              <w:rPr>
                <w:b/>
                <w:szCs w:val="24"/>
              </w:rPr>
            </w:pPr>
            <w:r>
              <w:rPr>
                <w:b/>
                <w:szCs w:val="24"/>
              </w:rPr>
              <w:t>2015 Payroll Conference</w:t>
            </w:r>
          </w:p>
          <w:p w:rsidR="00E00C7E" w:rsidRPr="00F85231" w:rsidRDefault="00F85231" w:rsidP="00F85231">
            <w:pPr>
              <w:tabs>
                <w:tab w:val="left" w:pos="2610"/>
              </w:tabs>
              <w:rPr>
                <w:sz w:val="28"/>
                <w:szCs w:val="28"/>
              </w:rPr>
            </w:pPr>
            <w:r>
              <w:rPr>
                <w:sz w:val="28"/>
                <w:szCs w:val="28"/>
              </w:rPr>
              <w:tab/>
            </w:r>
          </w:p>
        </w:tc>
        <w:tc>
          <w:tcPr>
            <w:tcW w:w="3795" w:type="dxa"/>
          </w:tcPr>
          <w:p w:rsidR="00B20211" w:rsidRPr="00612422" w:rsidRDefault="00B20211" w:rsidP="00612422">
            <w:pPr>
              <w:tabs>
                <w:tab w:val="left" w:pos="990"/>
              </w:tabs>
              <w:spacing w:before="120"/>
              <w:rPr>
                <w:sz w:val="20"/>
              </w:rPr>
            </w:pPr>
            <w:r w:rsidRPr="00612422">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612422">
                <w:rPr>
                  <w:rStyle w:val="Hyperlink"/>
                  <w:sz w:val="20"/>
                </w:rPr>
                <w:t>cathy.mcgill@doa.virginia.gov</w:t>
              </w:r>
            </w:hyperlink>
          </w:p>
          <w:p w:rsidR="00B20211" w:rsidRPr="00612422" w:rsidRDefault="00B20211" w:rsidP="00612422">
            <w:pPr>
              <w:tabs>
                <w:tab w:val="left" w:pos="990"/>
              </w:tabs>
              <w:spacing w:before="120"/>
              <w:jc w:val="both"/>
              <w:rPr>
                <w:sz w:val="20"/>
                <w:u w:val="single"/>
              </w:rPr>
            </w:pPr>
            <w:r w:rsidRPr="00612422">
              <w:rPr>
                <w:sz w:val="20"/>
                <w:u w:val="single"/>
              </w:rPr>
              <w:t>State Payroll Operations</w:t>
            </w:r>
          </w:p>
          <w:p w:rsidR="00B20211" w:rsidRPr="00612422" w:rsidRDefault="00B20211" w:rsidP="00612422">
            <w:pPr>
              <w:tabs>
                <w:tab w:val="left" w:pos="990"/>
              </w:tabs>
              <w:spacing w:before="120"/>
              <w:rPr>
                <w:sz w:val="20"/>
              </w:rPr>
            </w:pPr>
            <w:r w:rsidRPr="00612422">
              <w:rPr>
                <w:b/>
                <w:sz w:val="20"/>
              </w:rPr>
              <w:t>Director                         Lora L. George</w:t>
            </w:r>
          </w:p>
          <w:p w:rsidR="00B20211" w:rsidRPr="00612422" w:rsidRDefault="00B20211" w:rsidP="00612422">
            <w:pPr>
              <w:tabs>
                <w:tab w:val="left" w:pos="990"/>
              </w:tabs>
              <w:spacing w:before="120"/>
              <w:rPr>
                <w:szCs w:val="24"/>
              </w:rPr>
            </w:pPr>
            <w:r w:rsidRPr="00612422">
              <w:rPr>
                <w:sz w:val="20"/>
              </w:rPr>
              <w:t>Assistant Director          Cathy C. McGill</w:t>
            </w:r>
          </w:p>
        </w:tc>
      </w:tr>
    </w:tbl>
    <w:p w:rsidR="00756442" w:rsidRPr="00C50FDD" w:rsidRDefault="00756442" w:rsidP="00756442">
      <w:pPr>
        <w:pStyle w:val="BlockLine"/>
        <w:spacing w:before="120"/>
        <w:ind w:left="1620"/>
        <w:rPr>
          <w:sz w:val="16"/>
          <w:szCs w:val="16"/>
        </w:rPr>
      </w:pPr>
    </w:p>
    <w:p w:rsidR="006A4A16" w:rsidRDefault="00CD2A68" w:rsidP="006A4A16">
      <w:pPr>
        <w:rPr>
          <w:b/>
          <w:sz w:val="28"/>
          <w:szCs w:val="28"/>
        </w:rPr>
      </w:pPr>
      <w:r>
        <w:rPr>
          <w:b/>
          <w:sz w:val="28"/>
          <w:szCs w:val="28"/>
        </w:rPr>
        <w:t xml:space="preserve">Roth 457 – Additional </w:t>
      </w:r>
      <w:r w:rsidR="00111765">
        <w:rPr>
          <w:b/>
          <w:sz w:val="28"/>
          <w:szCs w:val="28"/>
        </w:rPr>
        <w:t xml:space="preserve">Supplemental </w:t>
      </w:r>
      <w:r>
        <w:rPr>
          <w:b/>
          <w:sz w:val="28"/>
          <w:szCs w:val="28"/>
        </w:rPr>
        <w:t xml:space="preserve">Retirement Option </w:t>
      </w:r>
    </w:p>
    <w:p w:rsidR="007E679A" w:rsidRPr="00C50FDD" w:rsidRDefault="007E679A" w:rsidP="007E679A">
      <w:pPr>
        <w:pStyle w:val="BlockLine"/>
        <w:spacing w:before="120"/>
        <w:ind w:left="1620"/>
        <w:rPr>
          <w:sz w:val="16"/>
          <w:szCs w:val="16"/>
        </w:rPr>
      </w:pPr>
    </w:p>
    <w:tbl>
      <w:tblPr>
        <w:tblW w:w="10188" w:type="dxa"/>
        <w:tblLayout w:type="fixed"/>
        <w:tblLook w:val="0000"/>
      </w:tblPr>
      <w:tblGrid>
        <w:gridCol w:w="1458"/>
        <w:gridCol w:w="8730"/>
      </w:tblGrid>
      <w:tr w:rsidR="00B20FF2" w:rsidRPr="00281A8E" w:rsidTr="00B20FF2">
        <w:trPr>
          <w:cantSplit/>
          <w:trHeight w:val="1040"/>
        </w:trPr>
        <w:tc>
          <w:tcPr>
            <w:tcW w:w="1458" w:type="dxa"/>
          </w:tcPr>
          <w:p w:rsidR="00B20FF2" w:rsidRPr="00C978AF" w:rsidRDefault="00AB0FB0" w:rsidP="00B20FF2">
            <w:pPr>
              <w:pStyle w:val="Heading5"/>
              <w:rPr>
                <w:szCs w:val="22"/>
              </w:rPr>
            </w:pPr>
            <w:r>
              <w:rPr>
                <w:szCs w:val="22"/>
              </w:rPr>
              <w:t>Roth 457 – Deduction 052</w:t>
            </w:r>
          </w:p>
        </w:tc>
        <w:tc>
          <w:tcPr>
            <w:tcW w:w="8730" w:type="dxa"/>
          </w:tcPr>
          <w:p w:rsidR="00175A1E" w:rsidRDefault="00BF6712" w:rsidP="00B20FF2">
            <w:pPr>
              <w:autoSpaceDE w:val="0"/>
              <w:autoSpaceDN w:val="0"/>
              <w:adjustRightInd w:val="0"/>
              <w:rPr>
                <w:szCs w:val="24"/>
              </w:rPr>
            </w:pPr>
            <w:r>
              <w:rPr>
                <w:szCs w:val="24"/>
              </w:rPr>
              <w:t>Effective July 1</w:t>
            </w:r>
            <w:r w:rsidR="007746DA" w:rsidRPr="001F0823">
              <w:rPr>
                <w:szCs w:val="24"/>
              </w:rPr>
              <w:t xml:space="preserve"> a Roth contribution option </w:t>
            </w:r>
            <w:r w:rsidR="00813DD2">
              <w:rPr>
                <w:szCs w:val="24"/>
              </w:rPr>
              <w:t xml:space="preserve">is </w:t>
            </w:r>
            <w:r w:rsidR="007746DA" w:rsidRPr="001F0823">
              <w:rPr>
                <w:szCs w:val="24"/>
              </w:rPr>
              <w:t xml:space="preserve">available to all participants in the Commonwealth of Virginia 457 Deferred Compensation Plan. These are contributions that employees make to their 457 Plan accounts on an </w:t>
            </w:r>
            <w:r w:rsidR="007746DA" w:rsidRPr="00AB0FB0">
              <w:rPr>
                <w:i/>
                <w:szCs w:val="24"/>
              </w:rPr>
              <w:t>after-tax</w:t>
            </w:r>
            <w:r w:rsidR="007746DA" w:rsidRPr="001F0823">
              <w:rPr>
                <w:szCs w:val="24"/>
              </w:rPr>
              <w:t xml:space="preserve"> basis. </w:t>
            </w:r>
            <w:r w:rsidR="00813DD2">
              <w:rPr>
                <w:szCs w:val="24"/>
              </w:rPr>
              <w:t>E</w:t>
            </w:r>
            <w:r w:rsidR="007746DA" w:rsidRPr="001F0823">
              <w:rPr>
                <w:szCs w:val="24"/>
              </w:rPr>
              <w:t xml:space="preserve">mployees pay taxes on the contributions now, rather than later. Employees may withdraw their Roth assets, which includes both their Roth contributions and any associated earnings, on a </w:t>
            </w:r>
            <w:r w:rsidR="007746DA" w:rsidRPr="001674AF">
              <w:rPr>
                <w:i/>
                <w:szCs w:val="24"/>
              </w:rPr>
              <w:t>tax-free</w:t>
            </w:r>
            <w:r w:rsidR="007746DA" w:rsidRPr="001F0823">
              <w:rPr>
                <w:szCs w:val="24"/>
              </w:rPr>
              <w:t xml:space="preserve"> basis, as long as certain criteria are met.</w:t>
            </w:r>
          </w:p>
          <w:p w:rsidR="007931CA" w:rsidRDefault="007931CA" w:rsidP="00B20FF2">
            <w:pPr>
              <w:autoSpaceDE w:val="0"/>
              <w:autoSpaceDN w:val="0"/>
              <w:adjustRightInd w:val="0"/>
              <w:rPr>
                <w:szCs w:val="24"/>
              </w:rPr>
            </w:pPr>
          </w:p>
          <w:p w:rsidR="007931CA" w:rsidRPr="007931CA" w:rsidRDefault="00AB0FB0" w:rsidP="00EC478F">
            <w:pPr>
              <w:autoSpaceDE w:val="0"/>
              <w:autoSpaceDN w:val="0"/>
              <w:adjustRightInd w:val="0"/>
              <w:rPr>
                <w:szCs w:val="24"/>
              </w:rPr>
            </w:pPr>
            <w:r>
              <w:t xml:space="preserve">Deduction 052, ROTH 457, has been established to accommodate post-tax 457 contributions.  </w:t>
            </w:r>
            <w:r w:rsidR="007931CA" w:rsidRPr="007F3A59">
              <w:rPr>
                <w:szCs w:val="24"/>
              </w:rPr>
              <w:t>As with existing</w:t>
            </w:r>
            <w:r w:rsidR="007931CA">
              <w:rPr>
                <w:szCs w:val="24"/>
              </w:rPr>
              <w:t xml:space="preserve"> 457 retirement deductions (</w:t>
            </w:r>
            <w:r w:rsidR="00EC478F">
              <w:rPr>
                <w:szCs w:val="24"/>
              </w:rPr>
              <w:t>deferred compensation or hybrid voluntary</w:t>
            </w:r>
            <w:r w:rsidR="007931CA">
              <w:rPr>
                <w:szCs w:val="24"/>
              </w:rPr>
              <w:t>)</w:t>
            </w:r>
            <w:r w:rsidR="007931CA" w:rsidRPr="007F3A59">
              <w:rPr>
                <w:szCs w:val="24"/>
              </w:rPr>
              <w:t xml:space="preserve">, </w:t>
            </w:r>
            <w:r w:rsidR="007931CA">
              <w:rPr>
                <w:szCs w:val="24"/>
              </w:rPr>
              <w:t>ICMA</w:t>
            </w:r>
            <w:r w:rsidR="007931CA" w:rsidRPr="007F3A59">
              <w:rPr>
                <w:szCs w:val="24"/>
              </w:rPr>
              <w:t xml:space="preserve"> is the administrator for Roth post-tax contributions.</w:t>
            </w:r>
            <w:r w:rsidR="007931CA">
              <w:rPr>
                <w:szCs w:val="24"/>
              </w:rPr>
              <w:t xml:space="preserve"> The new deduction will be included in the monthly enrollment/changes file beginning with the pay period of July 25 through August 9, 2015.</w:t>
            </w:r>
          </w:p>
        </w:tc>
      </w:tr>
    </w:tbl>
    <w:p w:rsidR="00AB0FB0" w:rsidRPr="00C50FDD" w:rsidRDefault="00AB0FB0" w:rsidP="00AB0FB0">
      <w:pPr>
        <w:pStyle w:val="BlockLine"/>
        <w:spacing w:before="120"/>
        <w:ind w:left="1620"/>
        <w:rPr>
          <w:sz w:val="16"/>
          <w:szCs w:val="16"/>
        </w:rPr>
      </w:pPr>
    </w:p>
    <w:p w:rsidR="00A31266" w:rsidRDefault="00A31266" w:rsidP="00E925AF">
      <w:pPr>
        <w:rPr>
          <w:sz w:val="16"/>
          <w:szCs w:val="16"/>
        </w:rPr>
      </w:pPr>
    </w:p>
    <w:tbl>
      <w:tblPr>
        <w:tblW w:w="10188" w:type="dxa"/>
        <w:tblLayout w:type="fixed"/>
        <w:tblLook w:val="0000"/>
      </w:tblPr>
      <w:tblGrid>
        <w:gridCol w:w="1458"/>
        <w:gridCol w:w="8730"/>
      </w:tblGrid>
      <w:tr w:rsidR="007931CA" w:rsidRPr="00281A8E" w:rsidTr="007931CA">
        <w:trPr>
          <w:cantSplit/>
          <w:trHeight w:val="1040"/>
        </w:trPr>
        <w:tc>
          <w:tcPr>
            <w:tcW w:w="1458" w:type="dxa"/>
          </w:tcPr>
          <w:p w:rsidR="007931CA" w:rsidRDefault="007931CA" w:rsidP="007931CA">
            <w:pPr>
              <w:pStyle w:val="Heading5"/>
              <w:rPr>
                <w:szCs w:val="22"/>
              </w:rPr>
            </w:pPr>
            <w:r>
              <w:rPr>
                <w:szCs w:val="22"/>
              </w:rPr>
              <w:t>Report Changes</w:t>
            </w:r>
          </w:p>
          <w:p w:rsidR="007931CA" w:rsidRPr="00442174" w:rsidRDefault="007931CA" w:rsidP="007931CA"/>
        </w:tc>
        <w:tc>
          <w:tcPr>
            <w:tcW w:w="8730" w:type="dxa"/>
          </w:tcPr>
          <w:p w:rsidR="007931CA" w:rsidRDefault="007931CA" w:rsidP="007931CA">
            <w:pPr>
              <w:rPr>
                <w:szCs w:val="24"/>
              </w:rPr>
            </w:pPr>
            <w:r>
              <w:rPr>
                <w:szCs w:val="24"/>
              </w:rPr>
              <w:t xml:space="preserve">The addition of the Roth </w:t>
            </w:r>
            <w:r w:rsidR="00AB0FB0">
              <w:rPr>
                <w:szCs w:val="24"/>
              </w:rPr>
              <w:t>457</w:t>
            </w:r>
            <w:r>
              <w:rPr>
                <w:szCs w:val="24"/>
              </w:rPr>
              <w:t xml:space="preserve"> deduction impacts several existing reports. In addition to the standard system reports, deduction 0</w:t>
            </w:r>
            <w:r w:rsidR="00AB0FB0">
              <w:rPr>
                <w:szCs w:val="24"/>
              </w:rPr>
              <w:t>52</w:t>
            </w:r>
            <w:r>
              <w:rPr>
                <w:szCs w:val="24"/>
              </w:rPr>
              <w:t xml:space="preserve"> will appear as a line-item on the following reports:</w:t>
            </w:r>
          </w:p>
          <w:p w:rsidR="007931CA" w:rsidRDefault="007931CA" w:rsidP="007931CA">
            <w:pPr>
              <w:rPr>
                <w:szCs w:val="24"/>
              </w:rPr>
            </w:pPr>
          </w:p>
          <w:p w:rsidR="007931CA" w:rsidRDefault="007931CA" w:rsidP="007931CA">
            <w:pPr>
              <w:rPr>
                <w:szCs w:val="24"/>
              </w:rPr>
            </w:pPr>
            <w:r>
              <w:rPr>
                <w:szCs w:val="24"/>
              </w:rPr>
              <w:t>Report U002, SUSPENSE RECONCILIATION REGISTER</w:t>
            </w:r>
          </w:p>
          <w:p w:rsidR="007931CA" w:rsidRDefault="007931CA" w:rsidP="007931CA">
            <w:pPr>
              <w:rPr>
                <w:szCs w:val="24"/>
              </w:rPr>
            </w:pPr>
            <w:r>
              <w:rPr>
                <w:szCs w:val="24"/>
              </w:rPr>
              <w:t>Report U023, SUMMARY OF PAYROLL EXPENDITURES</w:t>
            </w:r>
          </w:p>
          <w:p w:rsidR="00AB0FB0" w:rsidRDefault="00AB0FB0" w:rsidP="007931CA">
            <w:pPr>
              <w:rPr>
                <w:szCs w:val="24"/>
              </w:rPr>
            </w:pPr>
            <w:r>
              <w:rPr>
                <w:szCs w:val="24"/>
              </w:rPr>
              <w:t xml:space="preserve">Report U062, </w:t>
            </w:r>
            <w:r w:rsidR="00C150AC">
              <w:rPr>
                <w:szCs w:val="24"/>
              </w:rPr>
              <w:t>DC/CIPPS DEFERRED COMP/CASH MATCH UPDATE LISTING</w:t>
            </w:r>
          </w:p>
          <w:p w:rsidR="00C150AC" w:rsidRDefault="00C150AC" w:rsidP="00C150AC">
            <w:pPr>
              <w:rPr>
                <w:szCs w:val="24"/>
              </w:rPr>
            </w:pPr>
            <w:r>
              <w:rPr>
                <w:szCs w:val="24"/>
              </w:rPr>
              <w:t>Report U063, DC/CIPPS DEFERRED COMP/CASH MATCH ERROR REPORT</w:t>
            </w:r>
          </w:p>
          <w:p w:rsidR="007931CA" w:rsidRPr="0042426D" w:rsidRDefault="007931CA" w:rsidP="007931CA">
            <w:pPr>
              <w:rPr>
                <w:szCs w:val="24"/>
              </w:rPr>
            </w:pPr>
            <w:r>
              <w:rPr>
                <w:szCs w:val="24"/>
              </w:rPr>
              <w:t>Report U149, CASH MATCH (DED 45 + 46) DISCREPANCY LISTING</w:t>
            </w:r>
          </w:p>
        </w:tc>
      </w:tr>
    </w:tbl>
    <w:p w:rsidR="007931CA" w:rsidRDefault="007931CA" w:rsidP="007931CA">
      <w:pPr>
        <w:pStyle w:val="ContinuedOnNextPa"/>
      </w:pPr>
      <w:r w:rsidRPr="00360170">
        <w:t xml:space="preserve">Continued on next page </w:t>
      </w:r>
    </w:p>
    <w:p w:rsidR="007931CA" w:rsidRDefault="007931CA" w:rsidP="007931CA">
      <w:r>
        <w:br w:type="page"/>
      </w:r>
    </w:p>
    <w:p w:rsidR="007931CA" w:rsidRDefault="00C150AC" w:rsidP="007931CA">
      <w:r>
        <w:rPr>
          <w:b/>
          <w:sz w:val="28"/>
          <w:szCs w:val="28"/>
        </w:rPr>
        <w:t>Roth 457 – Additional Supplemental Retirement Option</w:t>
      </w:r>
      <w:r w:rsidR="00FB70C0">
        <w:rPr>
          <w:b/>
          <w:sz w:val="28"/>
          <w:szCs w:val="28"/>
        </w:rPr>
        <w:t>,</w:t>
      </w:r>
      <w:r>
        <w:rPr>
          <w:b/>
          <w:sz w:val="28"/>
          <w:szCs w:val="28"/>
        </w:rPr>
        <w:t xml:space="preserve"> </w:t>
      </w:r>
      <w:r w:rsidR="007931CA">
        <w:t>continued</w:t>
      </w:r>
    </w:p>
    <w:p w:rsidR="007931CA" w:rsidRPr="00034ABB" w:rsidRDefault="007931CA" w:rsidP="007931CA">
      <w:pPr>
        <w:pStyle w:val="BlockLine"/>
        <w:spacing w:before="120"/>
        <w:ind w:left="1699"/>
        <w:rPr>
          <w:sz w:val="16"/>
          <w:szCs w:val="16"/>
        </w:rPr>
      </w:pPr>
    </w:p>
    <w:tbl>
      <w:tblPr>
        <w:tblW w:w="10188" w:type="dxa"/>
        <w:tblLayout w:type="fixed"/>
        <w:tblLook w:val="0000"/>
      </w:tblPr>
      <w:tblGrid>
        <w:gridCol w:w="1458"/>
        <w:gridCol w:w="8730"/>
      </w:tblGrid>
      <w:tr w:rsidR="007931CA" w:rsidTr="007931CA">
        <w:trPr>
          <w:cantSplit/>
          <w:trHeight w:val="1040"/>
        </w:trPr>
        <w:tc>
          <w:tcPr>
            <w:tcW w:w="1458" w:type="dxa"/>
          </w:tcPr>
          <w:p w:rsidR="007931CA" w:rsidRDefault="007931CA" w:rsidP="007931CA">
            <w:pPr>
              <w:pStyle w:val="Heading5"/>
              <w:rPr>
                <w:sz w:val="24"/>
                <w:szCs w:val="24"/>
              </w:rPr>
            </w:pPr>
            <w:r>
              <w:rPr>
                <w:sz w:val="24"/>
                <w:szCs w:val="24"/>
              </w:rPr>
              <w:t>Deduction Goal and Shared Deferral Limit</w:t>
            </w:r>
          </w:p>
          <w:p w:rsidR="007931CA" w:rsidRPr="00442174" w:rsidRDefault="007931CA" w:rsidP="007931CA"/>
        </w:tc>
        <w:tc>
          <w:tcPr>
            <w:tcW w:w="8730" w:type="dxa"/>
          </w:tcPr>
          <w:p w:rsidR="007931CA" w:rsidRDefault="007931CA" w:rsidP="007931CA">
            <w:pPr>
              <w:pStyle w:val="ListParagraph"/>
              <w:ind w:left="0"/>
              <w:rPr>
                <w:rFonts w:ascii="Times New Roman" w:eastAsia="Times New Roman" w:hAnsi="Times New Roman"/>
                <w:sz w:val="24"/>
                <w:szCs w:val="24"/>
              </w:rPr>
            </w:pPr>
            <w:r>
              <w:rPr>
                <w:rFonts w:ascii="Times New Roman" w:eastAsia="Times New Roman" w:hAnsi="Times New Roman"/>
                <w:sz w:val="24"/>
                <w:szCs w:val="24"/>
              </w:rPr>
              <w:t>Regardless of whether</w:t>
            </w:r>
            <w:r w:rsidR="00C150AC">
              <w:rPr>
                <w:rFonts w:ascii="Times New Roman" w:eastAsia="Times New Roman" w:hAnsi="Times New Roman"/>
                <w:sz w:val="24"/>
                <w:szCs w:val="24"/>
              </w:rPr>
              <w:t xml:space="preserve"> defined contribution </w:t>
            </w:r>
            <w:r>
              <w:rPr>
                <w:rFonts w:ascii="Times New Roman" w:eastAsia="Times New Roman" w:hAnsi="Times New Roman"/>
                <w:sz w:val="24"/>
                <w:szCs w:val="24"/>
              </w:rPr>
              <w:t xml:space="preserve">deferrals are made pre-tax </w:t>
            </w:r>
            <w:r w:rsidR="00C150AC">
              <w:rPr>
                <w:rFonts w:ascii="Times New Roman" w:eastAsia="Times New Roman" w:hAnsi="Times New Roman"/>
                <w:sz w:val="24"/>
                <w:szCs w:val="24"/>
              </w:rPr>
              <w:t xml:space="preserve">(deferred compensation or hybrid voluntary) </w:t>
            </w:r>
            <w:r>
              <w:rPr>
                <w:rFonts w:ascii="Times New Roman" w:eastAsia="Times New Roman" w:hAnsi="Times New Roman"/>
                <w:sz w:val="24"/>
                <w:szCs w:val="24"/>
              </w:rPr>
              <w:t xml:space="preserve">or to a Roth post-tax plan, the total of </w:t>
            </w:r>
            <w:r w:rsidRPr="0066543B">
              <w:rPr>
                <w:rFonts w:ascii="Times New Roman" w:eastAsia="Times New Roman" w:hAnsi="Times New Roman"/>
                <w:sz w:val="24"/>
                <w:szCs w:val="24"/>
                <w:u w:val="single"/>
              </w:rPr>
              <w:t xml:space="preserve">all </w:t>
            </w:r>
            <w:r w:rsidR="00C150AC">
              <w:rPr>
                <w:rFonts w:ascii="Times New Roman" w:eastAsia="Times New Roman" w:hAnsi="Times New Roman"/>
                <w:sz w:val="24"/>
                <w:szCs w:val="24"/>
                <w:u w:val="single"/>
              </w:rPr>
              <w:t xml:space="preserve">457 </w:t>
            </w:r>
            <w:r w:rsidRPr="0066543B">
              <w:rPr>
                <w:rFonts w:ascii="Times New Roman" w:eastAsia="Times New Roman" w:hAnsi="Times New Roman"/>
                <w:sz w:val="24"/>
                <w:szCs w:val="24"/>
                <w:u w:val="single"/>
              </w:rPr>
              <w:t>deferrals</w:t>
            </w:r>
            <w:r>
              <w:rPr>
                <w:rFonts w:ascii="Times New Roman" w:eastAsia="Times New Roman" w:hAnsi="Times New Roman"/>
                <w:sz w:val="24"/>
                <w:szCs w:val="24"/>
              </w:rPr>
              <w:t xml:space="preserve"> for an employee cannot exceed the limits set </w:t>
            </w:r>
            <w:r w:rsidR="00C150AC">
              <w:rPr>
                <w:rFonts w:ascii="Times New Roman" w:eastAsia="Times New Roman" w:hAnsi="Times New Roman"/>
                <w:sz w:val="24"/>
                <w:szCs w:val="24"/>
              </w:rPr>
              <w:t>by</w:t>
            </w:r>
            <w:r>
              <w:rPr>
                <w:rFonts w:ascii="Times New Roman" w:eastAsia="Times New Roman" w:hAnsi="Times New Roman"/>
                <w:sz w:val="24"/>
                <w:szCs w:val="24"/>
              </w:rPr>
              <w:t xml:space="preserve"> IRS.  For 2015 the deferral limits are as follows:</w:t>
            </w:r>
          </w:p>
          <w:p w:rsidR="007931CA" w:rsidRDefault="007931CA" w:rsidP="007931CA">
            <w:pPr>
              <w:pStyle w:val="ListParagraph"/>
              <w:ind w:left="0"/>
              <w:rPr>
                <w:rFonts w:ascii="Times New Roman" w:eastAsia="Times New Roman" w:hAnsi="Times New Roman"/>
                <w:sz w:val="24"/>
                <w:szCs w:val="24"/>
              </w:rPr>
            </w:pPr>
          </w:p>
          <w:p w:rsidR="007931CA" w:rsidRDefault="007931CA" w:rsidP="00C150AC">
            <w:pPr>
              <w:pStyle w:val="ListParagraph"/>
              <w:tabs>
                <w:tab w:val="left" w:pos="2862"/>
              </w:tabs>
              <w:ind w:left="0"/>
              <w:rPr>
                <w:rFonts w:ascii="Times New Roman" w:eastAsia="Times New Roman" w:hAnsi="Times New Roman"/>
                <w:sz w:val="24"/>
                <w:szCs w:val="24"/>
              </w:rPr>
            </w:pPr>
            <w:r>
              <w:rPr>
                <w:rFonts w:ascii="Times New Roman" w:eastAsia="Times New Roman" w:hAnsi="Times New Roman"/>
                <w:sz w:val="24"/>
                <w:szCs w:val="24"/>
              </w:rPr>
              <w:t>Normal Limit</w:t>
            </w:r>
            <w:r>
              <w:rPr>
                <w:rFonts w:ascii="Times New Roman" w:eastAsia="Times New Roman" w:hAnsi="Times New Roman"/>
                <w:sz w:val="24"/>
                <w:szCs w:val="24"/>
              </w:rPr>
              <w:tab/>
              <w:t>$18,000</w:t>
            </w:r>
          </w:p>
          <w:p w:rsidR="007931CA" w:rsidRDefault="007931CA" w:rsidP="00C150AC">
            <w:pPr>
              <w:pStyle w:val="ListParagraph"/>
              <w:tabs>
                <w:tab w:val="left" w:pos="2862"/>
              </w:tabs>
              <w:ind w:left="0"/>
              <w:rPr>
                <w:rFonts w:ascii="Times New Roman" w:eastAsia="Times New Roman" w:hAnsi="Times New Roman"/>
                <w:sz w:val="24"/>
                <w:szCs w:val="24"/>
              </w:rPr>
            </w:pPr>
            <w:r>
              <w:rPr>
                <w:rFonts w:ascii="Times New Roman" w:eastAsia="Times New Roman" w:hAnsi="Times New Roman"/>
                <w:sz w:val="24"/>
                <w:szCs w:val="24"/>
              </w:rPr>
              <w:t>Age 50 catch-up:</w:t>
            </w:r>
            <w:r>
              <w:rPr>
                <w:rFonts w:ascii="Times New Roman" w:eastAsia="Times New Roman" w:hAnsi="Times New Roman"/>
                <w:sz w:val="24"/>
                <w:szCs w:val="24"/>
              </w:rPr>
              <w:tab/>
            </w:r>
            <w:r w:rsidR="00042A8E">
              <w:rPr>
                <w:rFonts w:ascii="Times New Roman" w:eastAsia="Times New Roman" w:hAnsi="Times New Roman"/>
                <w:sz w:val="24"/>
                <w:szCs w:val="24"/>
              </w:rPr>
              <w:t xml:space="preserve">  </w:t>
            </w:r>
            <w:r>
              <w:rPr>
                <w:rFonts w:ascii="Times New Roman" w:eastAsia="Times New Roman" w:hAnsi="Times New Roman"/>
                <w:sz w:val="24"/>
                <w:szCs w:val="24"/>
              </w:rPr>
              <w:t>$6,000</w:t>
            </w:r>
          </w:p>
          <w:p w:rsidR="007931CA" w:rsidRDefault="00C150AC" w:rsidP="00C150AC">
            <w:pPr>
              <w:pStyle w:val="ListParagraph"/>
              <w:tabs>
                <w:tab w:val="left" w:pos="2862"/>
              </w:tabs>
              <w:ind w:left="0"/>
              <w:rPr>
                <w:rFonts w:ascii="Times New Roman" w:eastAsia="Times New Roman" w:hAnsi="Times New Roman"/>
                <w:sz w:val="24"/>
                <w:szCs w:val="24"/>
              </w:rPr>
            </w:pPr>
            <w:r>
              <w:rPr>
                <w:rFonts w:ascii="Times New Roman" w:eastAsia="Times New Roman" w:hAnsi="Times New Roman"/>
                <w:sz w:val="24"/>
                <w:szCs w:val="24"/>
              </w:rPr>
              <w:t>457 standard catc</w:t>
            </w:r>
            <w:r w:rsidR="007931CA">
              <w:rPr>
                <w:rFonts w:ascii="Times New Roman" w:eastAsia="Times New Roman" w:hAnsi="Times New Roman"/>
                <w:sz w:val="24"/>
                <w:szCs w:val="24"/>
              </w:rPr>
              <w:t>h-up:</w:t>
            </w:r>
            <w:r w:rsidR="007931CA">
              <w:rPr>
                <w:rFonts w:ascii="Times New Roman" w:eastAsia="Times New Roman" w:hAnsi="Times New Roman"/>
                <w:sz w:val="24"/>
                <w:szCs w:val="24"/>
              </w:rPr>
              <w:tab/>
              <w:t>$</w:t>
            </w:r>
            <w:r>
              <w:rPr>
                <w:rFonts w:ascii="Times New Roman" w:eastAsia="Times New Roman" w:hAnsi="Times New Roman"/>
                <w:sz w:val="24"/>
                <w:szCs w:val="24"/>
              </w:rPr>
              <w:t>18,</w:t>
            </w:r>
            <w:r w:rsidR="007931CA">
              <w:rPr>
                <w:rFonts w:ascii="Times New Roman" w:eastAsia="Times New Roman" w:hAnsi="Times New Roman"/>
                <w:sz w:val="24"/>
                <w:szCs w:val="24"/>
              </w:rPr>
              <w:t>00</w:t>
            </w:r>
            <w:r>
              <w:rPr>
                <w:rFonts w:ascii="Times New Roman" w:eastAsia="Times New Roman" w:hAnsi="Times New Roman"/>
                <w:sz w:val="24"/>
                <w:szCs w:val="24"/>
              </w:rPr>
              <w:t>0</w:t>
            </w:r>
          </w:p>
          <w:p w:rsidR="007931CA" w:rsidRDefault="007931CA" w:rsidP="007931CA">
            <w:pPr>
              <w:pStyle w:val="ListParagraph"/>
              <w:ind w:left="0"/>
              <w:rPr>
                <w:rFonts w:ascii="Times New Roman" w:eastAsia="Times New Roman" w:hAnsi="Times New Roman"/>
                <w:sz w:val="24"/>
                <w:szCs w:val="24"/>
              </w:rPr>
            </w:pPr>
          </w:p>
          <w:p w:rsidR="007931CA" w:rsidRPr="00813866" w:rsidRDefault="00C150AC" w:rsidP="00C150AC">
            <w:pPr>
              <w:pStyle w:val="ListParagraph"/>
              <w:ind w:left="0"/>
              <w:rPr>
                <w:rFonts w:ascii="Times New Roman" w:eastAsia="Times New Roman" w:hAnsi="Times New Roman"/>
                <w:sz w:val="24"/>
                <w:szCs w:val="24"/>
              </w:rPr>
            </w:pPr>
            <w:r>
              <w:rPr>
                <w:rFonts w:ascii="Times New Roman" w:eastAsia="Times New Roman" w:hAnsi="Times New Roman"/>
                <w:sz w:val="24"/>
                <w:szCs w:val="24"/>
              </w:rPr>
              <w:t>E</w:t>
            </w:r>
            <w:r w:rsidR="007931CA">
              <w:rPr>
                <w:rFonts w:ascii="Times New Roman" w:eastAsia="Times New Roman" w:hAnsi="Times New Roman"/>
                <w:sz w:val="24"/>
                <w:szCs w:val="24"/>
              </w:rPr>
              <w:t xml:space="preserve">ach </w:t>
            </w:r>
            <w:r>
              <w:rPr>
                <w:rFonts w:ascii="Times New Roman" w:eastAsia="Times New Roman" w:hAnsi="Times New Roman"/>
                <w:sz w:val="24"/>
                <w:szCs w:val="24"/>
              </w:rPr>
              <w:t>457</w:t>
            </w:r>
            <w:r w:rsidR="007931CA">
              <w:rPr>
                <w:rFonts w:ascii="Times New Roman" w:eastAsia="Times New Roman" w:hAnsi="Times New Roman"/>
                <w:sz w:val="24"/>
                <w:szCs w:val="24"/>
              </w:rPr>
              <w:t>deduction will be</w:t>
            </w:r>
            <w:r>
              <w:rPr>
                <w:rFonts w:ascii="Times New Roman" w:eastAsia="Times New Roman" w:hAnsi="Times New Roman"/>
                <w:sz w:val="24"/>
                <w:szCs w:val="24"/>
              </w:rPr>
              <w:t xml:space="preserve"> combined and compared against the applicable maximum</w:t>
            </w:r>
            <w:r w:rsidR="007931CA">
              <w:rPr>
                <w:rFonts w:ascii="Times New Roman" w:eastAsia="Times New Roman" w:hAnsi="Times New Roman"/>
                <w:sz w:val="24"/>
                <w:szCs w:val="24"/>
              </w:rPr>
              <w:t>.</w:t>
            </w:r>
          </w:p>
        </w:tc>
      </w:tr>
    </w:tbl>
    <w:p w:rsidR="007931CA" w:rsidRPr="00034ABB" w:rsidRDefault="007931CA" w:rsidP="007931CA">
      <w:pPr>
        <w:pStyle w:val="BlockLine"/>
        <w:spacing w:before="120"/>
        <w:ind w:left="1699"/>
        <w:rPr>
          <w:sz w:val="16"/>
          <w:szCs w:val="16"/>
        </w:rPr>
      </w:pPr>
    </w:p>
    <w:tbl>
      <w:tblPr>
        <w:tblW w:w="10188" w:type="dxa"/>
        <w:tblLayout w:type="fixed"/>
        <w:tblLook w:val="0000"/>
      </w:tblPr>
      <w:tblGrid>
        <w:gridCol w:w="1458"/>
        <w:gridCol w:w="8730"/>
      </w:tblGrid>
      <w:tr w:rsidR="007931CA" w:rsidRPr="00281A8E" w:rsidTr="007931CA">
        <w:trPr>
          <w:cantSplit/>
          <w:trHeight w:val="1040"/>
        </w:trPr>
        <w:tc>
          <w:tcPr>
            <w:tcW w:w="1458" w:type="dxa"/>
          </w:tcPr>
          <w:p w:rsidR="007931CA" w:rsidRPr="00442174" w:rsidRDefault="007931CA" w:rsidP="00674A50">
            <w:pPr>
              <w:pStyle w:val="Heading5"/>
            </w:pPr>
            <w:r>
              <w:rPr>
                <w:sz w:val="24"/>
                <w:szCs w:val="24"/>
              </w:rPr>
              <w:t>Cash Match</w:t>
            </w:r>
          </w:p>
        </w:tc>
        <w:tc>
          <w:tcPr>
            <w:tcW w:w="8730" w:type="dxa"/>
          </w:tcPr>
          <w:p w:rsidR="007931CA" w:rsidRPr="00C978AF" w:rsidRDefault="007931CA" w:rsidP="00674A50">
            <w:pPr>
              <w:rPr>
                <w:rFonts w:cs="Arial"/>
                <w:color w:val="000000"/>
                <w:szCs w:val="24"/>
              </w:rPr>
            </w:pPr>
            <w:r>
              <w:rPr>
                <w:szCs w:val="24"/>
              </w:rPr>
              <w:t>CIPPS will automatically establish or change the cash match deduction 04</w:t>
            </w:r>
            <w:r w:rsidR="00C150AC">
              <w:rPr>
                <w:szCs w:val="24"/>
              </w:rPr>
              <w:t>5</w:t>
            </w:r>
            <w:r>
              <w:rPr>
                <w:szCs w:val="24"/>
              </w:rPr>
              <w:t xml:space="preserve">, </w:t>
            </w:r>
            <w:r w:rsidR="00674A50">
              <w:rPr>
                <w:szCs w:val="24"/>
              </w:rPr>
              <w:t>DC MATCH</w:t>
            </w:r>
            <w:r>
              <w:rPr>
                <w:szCs w:val="24"/>
              </w:rPr>
              <w:t xml:space="preserve">, based on the total of the </w:t>
            </w:r>
            <w:r w:rsidR="00674A50">
              <w:rPr>
                <w:szCs w:val="24"/>
              </w:rPr>
              <w:t>three</w:t>
            </w:r>
            <w:r>
              <w:rPr>
                <w:szCs w:val="24"/>
              </w:rPr>
              <w:t xml:space="preserve"> deductions</w:t>
            </w:r>
            <w:r w:rsidR="00674A50">
              <w:rPr>
                <w:szCs w:val="24"/>
              </w:rPr>
              <w:t>.</w:t>
            </w:r>
            <w:r w:rsidR="009647CE">
              <w:rPr>
                <w:szCs w:val="24"/>
              </w:rPr>
              <w:t xml:space="preserve">  However no cash match is provided for an employee enrolled in the Hybrid retirement program if the voluntary contribution percentage is not at the maximum percentage regardless of how much is contributed to Deferred Compensation or the Roth 457.</w:t>
            </w:r>
          </w:p>
        </w:tc>
      </w:tr>
    </w:tbl>
    <w:p w:rsidR="0075531C" w:rsidRPr="00C50FDD" w:rsidRDefault="0075531C" w:rsidP="0075531C">
      <w:pPr>
        <w:pStyle w:val="BlockLine"/>
        <w:spacing w:before="120"/>
        <w:ind w:left="1620"/>
        <w:rPr>
          <w:sz w:val="16"/>
          <w:szCs w:val="16"/>
        </w:rPr>
      </w:pPr>
    </w:p>
    <w:p w:rsidR="009136AC" w:rsidRDefault="00DC5D30" w:rsidP="009136AC">
      <w:pPr>
        <w:rPr>
          <w:b/>
          <w:sz w:val="28"/>
          <w:szCs w:val="28"/>
        </w:rPr>
      </w:pPr>
      <w:r>
        <w:rPr>
          <w:b/>
          <w:sz w:val="28"/>
          <w:szCs w:val="28"/>
        </w:rPr>
        <w:t xml:space="preserve">2015 </w:t>
      </w:r>
      <w:r w:rsidR="009136AC">
        <w:rPr>
          <w:b/>
          <w:sz w:val="28"/>
          <w:szCs w:val="28"/>
        </w:rPr>
        <w:t xml:space="preserve">Payroll Conference </w:t>
      </w:r>
    </w:p>
    <w:p w:rsidR="009136AC" w:rsidRPr="00C50FDD" w:rsidRDefault="009136AC" w:rsidP="009136AC">
      <w:pPr>
        <w:pStyle w:val="BlockLine"/>
        <w:spacing w:before="120"/>
        <w:ind w:left="1620"/>
        <w:rPr>
          <w:sz w:val="16"/>
          <w:szCs w:val="16"/>
        </w:rPr>
      </w:pPr>
    </w:p>
    <w:tbl>
      <w:tblPr>
        <w:tblW w:w="10188" w:type="dxa"/>
        <w:tblLayout w:type="fixed"/>
        <w:tblLook w:val="0000"/>
      </w:tblPr>
      <w:tblGrid>
        <w:gridCol w:w="1458"/>
        <w:gridCol w:w="8730"/>
      </w:tblGrid>
      <w:tr w:rsidR="009136AC" w:rsidRPr="00C978AF" w:rsidTr="00B36B25">
        <w:trPr>
          <w:cantSplit/>
          <w:trHeight w:val="1040"/>
        </w:trPr>
        <w:tc>
          <w:tcPr>
            <w:tcW w:w="1458" w:type="dxa"/>
          </w:tcPr>
          <w:p w:rsidR="009136AC" w:rsidRPr="00442174" w:rsidRDefault="0075531C" w:rsidP="00B36B25">
            <w:pPr>
              <w:pStyle w:val="Heading5"/>
            </w:pPr>
            <w:r>
              <w:t>CIPPS Training Materials</w:t>
            </w:r>
          </w:p>
        </w:tc>
        <w:tc>
          <w:tcPr>
            <w:tcW w:w="8730" w:type="dxa"/>
          </w:tcPr>
          <w:p w:rsidR="009136AC" w:rsidRDefault="0075531C" w:rsidP="00B36B25">
            <w:pPr>
              <w:rPr>
                <w:rFonts w:cs="Arial"/>
                <w:color w:val="000000"/>
                <w:szCs w:val="24"/>
              </w:rPr>
            </w:pPr>
            <w:r>
              <w:rPr>
                <w:rFonts w:cs="Arial"/>
                <w:color w:val="000000"/>
                <w:szCs w:val="24"/>
              </w:rPr>
              <w:t>A link to the presentations from the 2015 Payroll Conference held at the beginning of June is now available on the DOA website:</w:t>
            </w:r>
          </w:p>
          <w:p w:rsidR="0075531C" w:rsidRDefault="0075531C" w:rsidP="00B36B25">
            <w:pPr>
              <w:rPr>
                <w:rFonts w:cs="Arial"/>
                <w:color w:val="000000"/>
                <w:szCs w:val="24"/>
              </w:rPr>
            </w:pPr>
          </w:p>
          <w:p w:rsidR="0075531C" w:rsidRDefault="0075531C" w:rsidP="0075531C">
            <w:pPr>
              <w:rPr>
                <w:rFonts w:cs="Arial"/>
                <w:color w:val="000000"/>
                <w:szCs w:val="24"/>
              </w:rPr>
            </w:pPr>
            <w:hyperlink r:id="rId9" w:history="1">
              <w:r w:rsidRPr="008B3D1E">
                <w:rPr>
                  <w:rStyle w:val="Hyperlink"/>
                  <w:rFonts w:cs="Arial"/>
                  <w:szCs w:val="24"/>
                </w:rPr>
                <w:t>http://www.doa.virginia.gov/Payroll/Training/CIPPS_Intro_Training/CIPPS_Training_Manual.cfm</w:t>
              </w:r>
            </w:hyperlink>
          </w:p>
          <w:p w:rsidR="0075531C" w:rsidRDefault="0075531C" w:rsidP="0075531C">
            <w:pPr>
              <w:rPr>
                <w:rFonts w:cs="Arial"/>
                <w:color w:val="000000"/>
                <w:szCs w:val="24"/>
              </w:rPr>
            </w:pPr>
          </w:p>
          <w:p w:rsidR="0075531C" w:rsidRPr="00C978AF" w:rsidRDefault="0075531C" w:rsidP="0075531C">
            <w:pPr>
              <w:rPr>
                <w:rFonts w:cs="Arial"/>
                <w:color w:val="000000"/>
                <w:szCs w:val="24"/>
              </w:rPr>
            </w:pPr>
            <w:r>
              <w:rPr>
                <w:rFonts w:cs="Arial"/>
                <w:color w:val="000000"/>
                <w:szCs w:val="24"/>
              </w:rPr>
              <w:t xml:space="preserve">Look for items dated June 2015. </w:t>
            </w:r>
          </w:p>
        </w:tc>
      </w:tr>
    </w:tbl>
    <w:p w:rsidR="0075531C" w:rsidRPr="00C50FDD" w:rsidRDefault="0075531C" w:rsidP="0075531C">
      <w:pPr>
        <w:pStyle w:val="BlockLine"/>
        <w:spacing w:before="120"/>
        <w:ind w:left="1620"/>
        <w:rPr>
          <w:sz w:val="16"/>
          <w:szCs w:val="16"/>
        </w:rPr>
      </w:pPr>
    </w:p>
    <w:tbl>
      <w:tblPr>
        <w:tblW w:w="10188" w:type="dxa"/>
        <w:tblLayout w:type="fixed"/>
        <w:tblLook w:val="0000"/>
      </w:tblPr>
      <w:tblGrid>
        <w:gridCol w:w="1458"/>
        <w:gridCol w:w="8730"/>
      </w:tblGrid>
      <w:tr w:rsidR="0075531C" w:rsidRPr="00C978AF" w:rsidTr="00B36B25">
        <w:trPr>
          <w:cantSplit/>
          <w:trHeight w:val="1040"/>
        </w:trPr>
        <w:tc>
          <w:tcPr>
            <w:tcW w:w="1458" w:type="dxa"/>
          </w:tcPr>
          <w:p w:rsidR="0075531C" w:rsidRPr="00442174" w:rsidRDefault="0075531C" w:rsidP="00B36B25">
            <w:pPr>
              <w:pStyle w:val="Heading5"/>
            </w:pPr>
            <w:r>
              <w:t>VSDP Worksheet</w:t>
            </w:r>
          </w:p>
        </w:tc>
        <w:tc>
          <w:tcPr>
            <w:tcW w:w="8730" w:type="dxa"/>
          </w:tcPr>
          <w:p w:rsidR="0075531C" w:rsidRDefault="0075531C" w:rsidP="00B36B25">
            <w:pPr>
              <w:rPr>
                <w:rFonts w:cs="Arial"/>
                <w:color w:val="000000"/>
                <w:szCs w:val="24"/>
              </w:rPr>
            </w:pPr>
            <w:r>
              <w:rPr>
                <w:rFonts w:cs="Arial"/>
                <w:color w:val="000000"/>
                <w:szCs w:val="24"/>
              </w:rPr>
              <w:t>A link to the revised version of the VSDP spreadsheet discussed in the 2015 Payroll Conference held at the beginning of June is now available on the DOA website:</w:t>
            </w:r>
          </w:p>
          <w:p w:rsidR="0075531C" w:rsidRDefault="0075531C" w:rsidP="00B36B25">
            <w:pPr>
              <w:rPr>
                <w:rFonts w:cs="Arial"/>
                <w:color w:val="000000"/>
                <w:szCs w:val="24"/>
              </w:rPr>
            </w:pPr>
          </w:p>
          <w:p w:rsidR="0075531C" w:rsidRDefault="0075531C" w:rsidP="0075531C">
            <w:pPr>
              <w:rPr>
                <w:rFonts w:cs="Arial"/>
                <w:color w:val="000000"/>
                <w:szCs w:val="24"/>
              </w:rPr>
            </w:pPr>
            <w:hyperlink r:id="rId10" w:history="1">
              <w:r w:rsidRPr="008B3D1E">
                <w:rPr>
                  <w:rStyle w:val="Hyperlink"/>
                  <w:rFonts w:cs="Arial"/>
                  <w:szCs w:val="24"/>
                </w:rPr>
                <w:t>http://www.doa.virginia.gov/Payroll/Forms/Payroll_Forms_Main.cfm</w:t>
              </w:r>
            </w:hyperlink>
          </w:p>
          <w:p w:rsidR="0075531C" w:rsidRDefault="0075531C" w:rsidP="0075531C">
            <w:pPr>
              <w:rPr>
                <w:rFonts w:cs="Arial"/>
                <w:color w:val="000000"/>
                <w:szCs w:val="24"/>
              </w:rPr>
            </w:pPr>
          </w:p>
          <w:p w:rsidR="0075531C" w:rsidRPr="00C978AF" w:rsidRDefault="0075531C" w:rsidP="0075531C">
            <w:pPr>
              <w:rPr>
                <w:rFonts w:cs="Arial"/>
                <w:color w:val="000000"/>
                <w:szCs w:val="24"/>
              </w:rPr>
            </w:pPr>
            <w:r>
              <w:rPr>
                <w:rFonts w:cs="Arial"/>
                <w:color w:val="000000"/>
                <w:szCs w:val="24"/>
              </w:rPr>
              <w:t>The spreadsheet is available in the first section, Calculation Spreadsheets.</w:t>
            </w:r>
          </w:p>
        </w:tc>
      </w:tr>
    </w:tbl>
    <w:p w:rsidR="0075531C" w:rsidRPr="00C50FDD" w:rsidRDefault="0075531C" w:rsidP="0075531C">
      <w:pPr>
        <w:pStyle w:val="BlockLine"/>
        <w:spacing w:before="120"/>
        <w:ind w:left="1620"/>
        <w:rPr>
          <w:sz w:val="16"/>
          <w:szCs w:val="16"/>
        </w:rPr>
      </w:pPr>
    </w:p>
    <w:p w:rsidR="007931CA" w:rsidRPr="00E925AF" w:rsidRDefault="007931CA" w:rsidP="00E925AF">
      <w:pPr>
        <w:rPr>
          <w:sz w:val="16"/>
          <w:szCs w:val="16"/>
        </w:rPr>
      </w:pPr>
    </w:p>
    <w:sectPr w:rsidR="007931CA" w:rsidRPr="00E925AF" w:rsidSect="00E925AF">
      <w:headerReference w:type="default" r:id="rId11"/>
      <w:footerReference w:type="default" r:id="rId12"/>
      <w:pgSz w:w="12240" w:h="15840" w:code="1"/>
      <w:pgMar w:top="720" w:right="1152" w:bottom="360" w:left="1152" w:header="144" w:footer="6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D80" w:rsidRDefault="00055D80">
      <w:r>
        <w:separator/>
      </w:r>
    </w:p>
  </w:endnote>
  <w:endnote w:type="continuationSeparator" w:id="0">
    <w:p w:rsidR="00055D80" w:rsidRDefault="00055D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AF" w:rsidRDefault="001674AF" w:rsidP="00E925AF">
    <w:pPr>
      <w:pStyle w:val="Footer"/>
      <w:pBdr>
        <w:top w:val="single" w:sz="6" w:space="14" w:color="auto"/>
      </w:pBdr>
      <w:tabs>
        <w:tab w:val="clear" w:pos="4320"/>
        <w:tab w:val="clear" w:pos="8640"/>
        <w:tab w:val="left" w:pos="5940"/>
      </w:tabs>
      <w:ind w:right="-414"/>
      <w:jc w:val="center"/>
      <w:rPr>
        <w:i/>
        <w:snapToGrid w:val="0"/>
        <w:sz w:val="22"/>
      </w:rPr>
    </w:pPr>
    <w:r>
      <w:rPr>
        <w:i/>
        <w:snapToGrid w:val="0"/>
        <w:sz w:val="22"/>
      </w:rPr>
      <w:t xml:space="preserve">Page </w:t>
    </w:r>
    <w:r w:rsidR="00EB47E2">
      <w:rPr>
        <w:rStyle w:val="PageNumber"/>
      </w:rPr>
      <w:fldChar w:fldCharType="begin"/>
    </w:r>
    <w:r>
      <w:rPr>
        <w:rStyle w:val="PageNumber"/>
      </w:rPr>
      <w:instrText xml:space="preserve"> PAGE </w:instrText>
    </w:r>
    <w:r w:rsidR="00EB47E2">
      <w:rPr>
        <w:rStyle w:val="PageNumber"/>
      </w:rPr>
      <w:fldChar w:fldCharType="separate"/>
    </w:r>
    <w:r w:rsidR="00476082">
      <w:rPr>
        <w:rStyle w:val="PageNumber"/>
        <w:noProof/>
      </w:rPr>
      <w:t>2</w:t>
    </w:r>
    <w:r w:rsidR="00EB47E2">
      <w:rPr>
        <w:rStyle w:val="PageNumber"/>
      </w:rPr>
      <w:fldChar w:fldCharType="end"/>
    </w:r>
    <w:r>
      <w:rPr>
        <w:rStyle w:val="PageNumber"/>
      </w:rPr>
      <w:t xml:space="preserve"> of </w:t>
    </w:r>
    <w:r w:rsidR="00EB47E2">
      <w:rPr>
        <w:rStyle w:val="PageNumber"/>
      </w:rPr>
      <w:fldChar w:fldCharType="begin"/>
    </w:r>
    <w:r>
      <w:rPr>
        <w:rStyle w:val="PageNumber"/>
      </w:rPr>
      <w:instrText xml:space="preserve"> NUMPAGES </w:instrText>
    </w:r>
    <w:r w:rsidR="00EB47E2">
      <w:rPr>
        <w:rStyle w:val="PageNumber"/>
      </w:rPr>
      <w:fldChar w:fldCharType="separate"/>
    </w:r>
    <w:r w:rsidR="00476082">
      <w:rPr>
        <w:rStyle w:val="PageNumber"/>
        <w:noProof/>
      </w:rPr>
      <w:t>2</w:t>
    </w:r>
    <w:r w:rsidR="00EB47E2">
      <w:rPr>
        <w:rStyle w:val="PageNumber"/>
      </w:rPr>
      <w:fldChar w:fldCharType="end"/>
    </w:r>
  </w:p>
  <w:p w:rsidR="001674AF" w:rsidRDefault="00EB47E2" w:rsidP="00A41E11">
    <w:pPr>
      <w:pStyle w:val="Footer"/>
      <w:jc w:val="center"/>
    </w:pPr>
    <w:hyperlink r:id="rId1" w:tooltip="http://www.doa.virginia.gov/Payroll/Payroll_Bulletins/Payroll_Bulletins_Main.cfm" w:history="1">
      <w:r w:rsidR="001674AF">
        <w:rPr>
          <w:rStyle w:val="Hyperlink"/>
          <w:i/>
          <w:iCs/>
          <w:snapToGrid w:val="0"/>
          <w:sz w:val="22"/>
        </w:rPr>
        <w:t>http://www.doa.virginia.gov/Payroll/Payroll_Bulletins/Payroll_Bulletins_Main.cfm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D80" w:rsidRDefault="00055D80">
      <w:r>
        <w:separator/>
      </w:r>
    </w:p>
  </w:footnote>
  <w:footnote w:type="continuationSeparator" w:id="0">
    <w:p w:rsidR="00055D80" w:rsidRDefault="00055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366"/>
      <w:gridCol w:w="3366"/>
      <w:gridCol w:w="3276"/>
    </w:tblGrid>
    <w:tr w:rsidR="001674AF" w:rsidTr="0017296B">
      <w:trPr>
        <w:cantSplit/>
      </w:trPr>
      <w:tc>
        <w:tcPr>
          <w:tcW w:w="3366" w:type="dxa"/>
          <w:tcBorders>
            <w:bottom w:val="double" w:sz="6" w:space="0" w:color="auto"/>
          </w:tcBorders>
        </w:tcPr>
        <w:p w:rsidR="001674AF" w:rsidRDefault="001674AF" w:rsidP="00372FDD">
          <w:pPr>
            <w:pStyle w:val="Header"/>
            <w:rPr>
              <w:b/>
              <w:sz w:val="20"/>
            </w:rPr>
          </w:pPr>
          <w:r>
            <w:rPr>
              <w:b/>
              <w:sz w:val="20"/>
            </w:rPr>
            <w:t>Calendar Year 2015</w:t>
          </w:r>
        </w:p>
      </w:tc>
      <w:tc>
        <w:tcPr>
          <w:tcW w:w="3366" w:type="dxa"/>
          <w:tcBorders>
            <w:bottom w:val="double" w:sz="6" w:space="0" w:color="auto"/>
          </w:tcBorders>
        </w:tcPr>
        <w:p w:rsidR="001674AF" w:rsidRDefault="00FB70C0" w:rsidP="00FB70C0">
          <w:pPr>
            <w:pStyle w:val="Header"/>
            <w:jc w:val="center"/>
            <w:rPr>
              <w:b/>
              <w:sz w:val="20"/>
            </w:rPr>
          </w:pPr>
          <w:r>
            <w:rPr>
              <w:b/>
              <w:sz w:val="20"/>
            </w:rPr>
            <w:t>July 1,</w:t>
          </w:r>
          <w:r w:rsidR="001674AF">
            <w:rPr>
              <w:b/>
              <w:sz w:val="20"/>
            </w:rPr>
            <w:t xml:space="preserve"> 2015</w:t>
          </w:r>
        </w:p>
      </w:tc>
      <w:tc>
        <w:tcPr>
          <w:tcW w:w="3276" w:type="dxa"/>
          <w:tcBorders>
            <w:bottom w:val="double" w:sz="6" w:space="0" w:color="auto"/>
          </w:tcBorders>
        </w:tcPr>
        <w:p w:rsidR="001674AF" w:rsidRDefault="001674AF" w:rsidP="00B72814">
          <w:pPr>
            <w:pStyle w:val="Header"/>
            <w:jc w:val="right"/>
            <w:rPr>
              <w:b/>
              <w:sz w:val="20"/>
            </w:rPr>
          </w:pPr>
          <w:r>
            <w:rPr>
              <w:b/>
              <w:sz w:val="20"/>
            </w:rPr>
            <w:t>Volume 2015-0</w:t>
          </w:r>
          <w:r w:rsidR="00B72814">
            <w:rPr>
              <w:b/>
              <w:sz w:val="20"/>
            </w:rPr>
            <w:t>7</w:t>
          </w:r>
        </w:p>
      </w:tc>
    </w:tr>
  </w:tbl>
  <w:p w:rsidR="001674AF" w:rsidRDefault="001674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4E76"/>
    <w:multiLevelType w:val="hybridMultilevel"/>
    <w:tmpl w:val="5AA0172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A8759B"/>
    <w:multiLevelType w:val="hybridMultilevel"/>
    <w:tmpl w:val="353230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096F41"/>
    <w:multiLevelType w:val="hybridMultilevel"/>
    <w:tmpl w:val="5FAA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654C607D"/>
    <w:multiLevelType w:val="hybridMultilevel"/>
    <w:tmpl w:val="53100018"/>
    <w:lvl w:ilvl="0" w:tplc="63C8518E">
      <w:start w:val="1"/>
      <w:numFmt w:val="bullet"/>
      <w:lvlText w:val=""/>
      <w:lvlJc w:val="left"/>
      <w:pPr>
        <w:tabs>
          <w:tab w:val="num" w:pos="720"/>
        </w:tabs>
        <w:ind w:left="720" w:hanging="360"/>
      </w:pPr>
      <w:rPr>
        <w:rFonts w:ascii="Wingdings" w:hAnsi="Wingdings" w:hint="default"/>
        <w:color w:val="000000"/>
      </w:rPr>
    </w:lvl>
    <w:lvl w:ilvl="1" w:tplc="0409000B">
      <w:start w:val="1"/>
      <w:numFmt w:val="bullet"/>
      <w:lvlText w:val=""/>
      <w:lvlJc w:val="left"/>
      <w:pPr>
        <w:tabs>
          <w:tab w:val="num" w:pos="1440"/>
        </w:tabs>
        <w:ind w:left="1440" w:hanging="360"/>
      </w:pPr>
      <w:rPr>
        <w:rFonts w:ascii="Wingdings" w:hAnsi="Wingding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397D46"/>
    <w:multiLevelType w:val="hybridMultilevel"/>
    <w:tmpl w:val="DC2A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ryn Quiriconi">
    <w15:presenceInfo w15:providerId="AD" w15:userId="S-1-5-21-1926068871-584809105-1878986848-36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D0C78"/>
    <w:rsid w:val="0000308D"/>
    <w:rsid w:val="000134A3"/>
    <w:rsid w:val="0001432B"/>
    <w:rsid w:val="00015610"/>
    <w:rsid w:val="000229A0"/>
    <w:rsid w:val="00022C10"/>
    <w:rsid w:val="000248B8"/>
    <w:rsid w:val="000301F5"/>
    <w:rsid w:val="000306B7"/>
    <w:rsid w:val="00031810"/>
    <w:rsid w:val="000330E6"/>
    <w:rsid w:val="00037673"/>
    <w:rsid w:val="00042A8E"/>
    <w:rsid w:val="000516A3"/>
    <w:rsid w:val="00053D2A"/>
    <w:rsid w:val="00055D80"/>
    <w:rsid w:val="0006073F"/>
    <w:rsid w:val="000635CE"/>
    <w:rsid w:val="00063800"/>
    <w:rsid w:val="00066E45"/>
    <w:rsid w:val="00090054"/>
    <w:rsid w:val="00091739"/>
    <w:rsid w:val="00094E2F"/>
    <w:rsid w:val="000A3E0D"/>
    <w:rsid w:val="000A7EE2"/>
    <w:rsid w:val="000B17B7"/>
    <w:rsid w:val="000B6960"/>
    <w:rsid w:val="000C7055"/>
    <w:rsid w:val="000D0C78"/>
    <w:rsid w:val="000D713A"/>
    <w:rsid w:val="000E4259"/>
    <w:rsid w:val="000E56EC"/>
    <w:rsid w:val="000F5A08"/>
    <w:rsid w:val="000F68C9"/>
    <w:rsid w:val="001006DA"/>
    <w:rsid w:val="00105531"/>
    <w:rsid w:val="0010607C"/>
    <w:rsid w:val="00106F6C"/>
    <w:rsid w:val="00111132"/>
    <w:rsid w:val="00111765"/>
    <w:rsid w:val="00112639"/>
    <w:rsid w:val="00123B03"/>
    <w:rsid w:val="001434D8"/>
    <w:rsid w:val="00161B1E"/>
    <w:rsid w:val="00166819"/>
    <w:rsid w:val="001674AF"/>
    <w:rsid w:val="0017285D"/>
    <w:rsid w:val="0017296B"/>
    <w:rsid w:val="00173748"/>
    <w:rsid w:val="00175A1E"/>
    <w:rsid w:val="00177EA1"/>
    <w:rsid w:val="00181C38"/>
    <w:rsid w:val="00184A1D"/>
    <w:rsid w:val="001906D9"/>
    <w:rsid w:val="0019283C"/>
    <w:rsid w:val="0019385E"/>
    <w:rsid w:val="001A2715"/>
    <w:rsid w:val="001A3EA1"/>
    <w:rsid w:val="001B244C"/>
    <w:rsid w:val="001B6B8C"/>
    <w:rsid w:val="001C3B20"/>
    <w:rsid w:val="001C416E"/>
    <w:rsid w:val="001C6B3E"/>
    <w:rsid w:val="001E07BF"/>
    <w:rsid w:val="001E0C15"/>
    <w:rsid w:val="001E47DD"/>
    <w:rsid w:val="001E5C91"/>
    <w:rsid w:val="001E676B"/>
    <w:rsid w:val="001F0823"/>
    <w:rsid w:val="001F28FA"/>
    <w:rsid w:val="001F423F"/>
    <w:rsid w:val="00202B71"/>
    <w:rsid w:val="00210D5A"/>
    <w:rsid w:val="00217099"/>
    <w:rsid w:val="002171A1"/>
    <w:rsid w:val="00223D02"/>
    <w:rsid w:val="002244EF"/>
    <w:rsid w:val="00224F21"/>
    <w:rsid w:val="00225F15"/>
    <w:rsid w:val="00241DC2"/>
    <w:rsid w:val="00246724"/>
    <w:rsid w:val="00251987"/>
    <w:rsid w:val="00252CE0"/>
    <w:rsid w:val="00254C18"/>
    <w:rsid w:val="00282FE5"/>
    <w:rsid w:val="00285684"/>
    <w:rsid w:val="002875BF"/>
    <w:rsid w:val="00292042"/>
    <w:rsid w:val="0029360D"/>
    <w:rsid w:val="002A149C"/>
    <w:rsid w:val="002A3455"/>
    <w:rsid w:val="002A562B"/>
    <w:rsid w:val="002B46AD"/>
    <w:rsid w:val="002B4AAF"/>
    <w:rsid w:val="002B69A0"/>
    <w:rsid w:val="002B7654"/>
    <w:rsid w:val="002C1D7B"/>
    <w:rsid w:val="002C7CC2"/>
    <w:rsid w:val="002D0F1F"/>
    <w:rsid w:val="002D27FC"/>
    <w:rsid w:val="002D399D"/>
    <w:rsid w:val="002E7612"/>
    <w:rsid w:val="002F385B"/>
    <w:rsid w:val="002F7B7E"/>
    <w:rsid w:val="0030373C"/>
    <w:rsid w:val="00312378"/>
    <w:rsid w:val="00315DB1"/>
    <w:rsid w:val="00324E82"/>
    <w:rsid w:val="003502F6"/>
    <w:rsid w:val="00351CE2"/>
    <w:rsid w:val="00360170"/>
    <w:rsid w:val="003667F5"/>
    <w:rsid w:val="00366CBE"/>
    <w:rsid w:val="00372FDD"/>
    <w:rsid w:val="0037365F"/>
    <w:rsid w:val="0037715B"/>
    <w:rsid w:val="00385A63"/>
    <w:rsid w:val="00387A2A"/>
    <w:rsid w:val="00390FC5"/>
    <w:rsid w:val="003A6237"/>
    <w:rsid w:val="003A7585"/>
    <w:rsid w:val="003B09C4"/>
    <w:rsid w:val="003B1670"/>
    <w:rsid w:val="003B291C"/>
    <w:rsid w:val="003C566C"/>
    <w:rsid w:val="003D56A6"/>
    <w:rsid w:val="00405CFF"/>
    <w:rsid w:val="00406F86"/>
    <w:rsid w:val="00413071"/>
    <w:rsid w:val="00414E17"/>
    <w:rsid w:val="00414E7F"/>
    <w:rsid w:val="00417205"/>
    <w:rsid w:val="0042279C"/>
    <w:rsid w:val="0042426D"/>
    <w:rsid w:val="004254D3"/>
    <w:rsid w:val="00430920"/>
    <w:rsid w:val="0044520A"/>
    <w:rsid w:val="004520E7"/>
    <w:rsid w:val="00452279"/>
    <w:rsid w:val="00457EE5"/>
    <w:rsid w:val="00472F63"/>
    <w:rsid w:val="00476082"/>
    <w:rsid w:val="004809FF"/>
    <w:rsid w:val="00485B5E"/>
    <w:rsid w:val="00486725"/>
    <w:rsid w:val="00487C09"/>
    <w:rsid w:val="004940F5"/>
    <w:rsid w:val="004A280A"/>
    <w:rsid w:val="004A57F5"/>
    <w:rsid w:val="004A715D"/>
    <w:rsid w:val="004B7441"/>
    <w:rsid w:val="004C09DE"/>
    <w:rsid w:val="004C1931"/>
    <w:rsid w:val="004C70B7"/>
    <w:rsid w:val="004D2B56"/>
    <w:rsid w:val="004D7523"/>
    <w:rsid w:val="004E5846"/>
    <w:rsid w:val="004E7B9F"/>
    <w:rsid w:val="0050233B"/>
    <w:rsid w:val="005045DC"/>
    <w:rsid w:val="00507FEC"/>
    <w:rsid w:val="00523564"/>
    <w:rsid w:val="00545EED"/>
    <w:rsid w:val="0056085F"/>
    <w:rsid w:val="00562AD7"/>
    <w:rsid w:val="00564691"/>
    <w:rsid w:val="00565BF7"/>
    <w:rsid w:val="005668A2"/>
    <w:rsid w:val="0057051A"/>
    <w:rsid w:val="0057239D"/>
    <w:rsid w:val="00575ECA"/>
    <w:rsid w:val="00580CFE"/>
    <w:rsid w:val="005B055B"/>
    <w:rsid w:val="005B77B3"/>
    <w:rsid w:val="005C1612"/>
    <w:rsid w:val="005C2403"/>
    <w:rsid w:val="005D6F7B"/>
    <w:rsid w:val="005F1589"/>
    <w:rsid w:val="005F27CC"/>
    <w:rsid w:val="005F74B0"/>
    <w:rsid w:val="00603258"/>
    <w:rsid w:val="006072DF"/>
    <w:rsid w:val="00610DBC"/>
    <w:rsid w:val="00612422"/>
    <w:rsid w:val="00612528"/>
    <w:rsid w:val="006161C2"/>
    <w:rsid w:val="00617CEE"/>
    <w:rsid w:val="00624F5A"/>
    <w:rsid w:val="00654A9F"/>
    <w:rsid w:val="00664EF8"/>
    <w:rsid w:val="0067229C"/>
    <w:rsid w:val="00674030"/>
    <w:rsid w:val="00674A50"/>
    <w:rsid w:val="0068029E"/>
    <w:rsid w:val="0068152E"/>
    <w:rsid w:val="0068633E"/>
    <w:rsid w:val="00686D94"/>
    <w:rsid w:val="0069030B"/>
    <w:rsid w:val="00695190"/>
    <w:rsid w:val="0069555B"/>
    <w:rsid w:val="006A4A16"/>
    <w:rsid w:val="006A78B5"/>
    <w:rsid w:val="006B03F2"/>
    <w:rsid w:val="006B1396"/>
    <w:rsid w:val="006B24C0"/>
    <w:rsid w:val="006B36F4"/>
    <w:rsid w:val="006B3A4D"/>
    <w:rsid w:val="006B46C7"/>
    <w:rsid w:val="006B7109"/>
    <w:rsid w:val="006C3BEE"/>
    <w:rsid w:val="006D39A3"/>
    <w:rsid w:val="006D4B81"/>
    <w:rsid w:val="006E152E"/>
    <w:rsid w:val="006F2F52"/>
    <w:rsid w:val="00712D1C"/>
    <w:rsid w:val="00714E52"/>
    <w:rsid w:val="007156BA"/>
    <w:rsid w:val="00717F70"/>
    <w:rsid w:val="00722E34"/>
    <w:rsid w:val="00731DB0"/>
    <w:rsid w:val="0074416A"/>
    <w:rsid w:val="0074468D"/>
    <w:rsid w:val="00747E3C"/>
    <w:rsid w:val="00752949"/>
    <w:rsid w:val="0075531C"/>
    <w:rsid w:val="00756442"/>
    <w:rsid w:val="00757BFB"/>
    <w:rsid w:val="00760382"/>
    <w:rsid w:val="00763AC0"/>
    <w:rsid w:val="007667FA"/>
    <w:rsid w:val="0076780C"/>
    <w:rsid w:val="007746DA"/>
    <w:rsid w:val="007750D1"/>
    <w:rsid w:val="00775DF4"/>
    <w:rsid w:val="0078110A"/>
    <w:rsid w:val="00781E0A"/>
    <w:rsid w:val="0078572B"/>
    <w:rsid w:val="0079072D"/>
    <w:rsid w:val="007931CA"/>
    <w:rsid w:val="007A4B30"/>
    <w:rsid w:val="007A51A8"/>
    <w:rsid w:val="007A5CC5"/>
    <w:rsid w:val="007B4814"/>
    <w:rsid w:val="007C28D4"/>
    <w:rsid w:val="007C3F5C"/>
    <w:rsid w:val="007D487C"/>
    <w:rsid w:val="007E5815"/>
    <w:rsid w:val="007E679A"/>
    <w:rsid w:val="007F13CA"/>
    <w:rsid w:val="007F51A7"/>
    <w:rsid w:val="00801B20"/>
    <w:rsid w:val="00805277"/>
    <w:rsid w:val="00812B57"/>
    <w:rsid w:val="00813DD2"/>
    <w:rsid w:val="00826754"/>
    <w:rsid w:val="00827455"/>
    <w:rsid w:val="00832DD3"/>
    <w:rsid w:val="00836D7F"/>
    <w:rsid w:val="0084260A"/>
    <w:rsid w:val="00850FC5"/>
    <w:rsid w:val="00854331"/>
    <w:rsid w:val="008564C1"/>
    <w:rsid w:val="00857E9D"/>
    <w:rsid w:val="008600B8"/>
    <w:rsid w:val="00863351"/>
    <w:rsid w:val="008675DE"/>
    <w:rsid w:val="00872A79"/>
    <w:rsid w:val="008948EA"/>
    <w:rsid w:val="00895F02"/>
    <w:rsid w:val="0089615E"/>
    <w:rsid w:val="008B169A"/>
    <w:rsid w:val="008C2065"/>
    <w:rsid w:val="008C29E8"/>
    <w:rsid w:val="008C7C84"/>
    <w:rsid w:val="008E7826"/>
    <w:rsid w:val="009136AC"/>
    <w:rsid w:val="00917C1C"/>
    <w:rsid w:val="009219E7"/>
    <w:rsid w:val="0092656E"/>
    <w:rsid w:val="00930133"/>
    <w:rsid w:val="00930697"/>
    <w:rsid w:val="00933FF6"/>
    <w:rsid w:val="00946E65"/>
    <w:rsid w:val="009540A7"/>
    <w:rsid w:val="009601E3"/>
    <w:rsid w:val="0096194D"/>
    <w:rsid w:val="00961E3D"/>
    <w:rsid w:val="009647CE"/>
    <w:rsid w:val="009733B7"/>
    <w:rsid w:val="00974C38"/>
    <w:rsid w:val="00976C71"/>
    <w:rsid w:val="00980911"/>
    <w:rsid w:val="00985EC7"/>
    <w:rsid w:val="00993D57"/>
    <w:rsid w:val="009B1406"/>
    <w:rsid w:val="009D22EB"/>
    <w:rsid w:val="009D3989"/>
    <w:rsid w:val="009E564C"/>
    <w:rsid w:val="009F0A22"/>
    <w:rsid w:val="009F3948"/>
    <w:rsid w:val="009F4CCA"/>
    <w:rsid w:val="009F6827"/>
    <w:rsid w:val="009F766D"/>
    <w:rsid w:val="009F7AFD"/>
    <w:rsid w:val="009F7CC0"/>
    <w:rsid w:val="00A058B8"/>
    <w:rsid w:val="00A06FCC"/>
    <w:rsid w:val="00A1077D"/>
    <w:rsid w:val="00A12EDE"/>
    <w:rsid w:val="00A31266"/>
    <w:rsid w:val="00A317F9"/>
    <w:rsid w:val="00A33311"/>
    <w:rsid w:val="00A35C7F"/>
    <w:rsid w:val="00A41E11"/>
    <w:rsid w:val="00A4564F"/>
    <w:rsid w:val="00A5031A"/>
    <w:rsid w:val="00A652B4"/>
    <w:rsid w:val="00A67421"/>
    <w:rsid w:val="00A718A1"/>
    <w:rsid w:val="00A72FF9"/>
    <w:rsid w:val="00A80AA5"/>
    <w:rsid w:val="00A822CE"/>
    <w:rsid w:val="00A829F4"/>
    <w:rsid w:val="00A850F9"/>
    <w:rsid w:val="00A87825"/>
    <w:rsid w:val="00AB0FB0"/>
    <w:rsid w:val="00AB405B"/>
    <w:rsid w:val="00AB6E16"/>
    <w:rsid w:val="00AD25BD"/>
    <w:rsid w:val="00AE0747"/>
    <w:rsid w:val="00AE0F14"/>
    <w:rsid w:val="00B00010"/>
    <w:rsid w:val="00B001A0"/>
    <w:rsid w:val="00B03090"/>
    <w:rsid w:val="00B07E95"/>
    <w:rsid w:val="00B11532"/>
    <w:rsid w:val="00B14904"/>
    <w:rsid w:val="00B17AF8"/>
    <w:rsid w:val="00B20211"/>
    <w:rsid w:val="00B20FF2"/>
    <w:rsid w:val="00B310A0"/>
    <w:rsid w:val="00B32E72"/>
    <w:rsid w:val="00B40842"/>
    <w:rsid w:val="00B41DA7"/>
    <w:rsid w:val="00B50F59"/>
    <w:rsid w:val="00B5220A"/>
    <w:rsid w:val="00B66358"/>
    <w:rsid w:val="00B6706B"/>
    <w:rsid w:val="00B6725E"/>
    <w:rsid w:val="00B703F2"/>
    <w:rsid w:val="00B72814"/>
    <w:rsid w:val="00B768B2"/>
    <w:rsid w:val="00B77999"/>
    <w:rsid w:val="00B85542"/>
    <w:rsid w:val="00B87D23"/>
    <w:rsid w:val="00B900DE"/>
    <w:rsid w:val="00B92EAE"/>
    <w:rsid w:val="00B952BC"/>
    <w:rsid w:val="00B96A2D"/>
    <w:rsid w:val="00B97E16"/>
    <w:rsid w:val="00BA6484"/>
    <w:rsid w:val="00BC5A0C"/>
    <w:rsid w:val="00BC5E04"/>
    <w:rsid w:val="00BC7BF7"/>
    <w:rsid w:val="00BD43E3"/>
    <w:rsid w:val="00BE723D"/>
    <w:rsid w:val="00BF079C"/>
    <w:rsid w:val="00BF6712"/>
    <w:rsid w:val="00C033C7"/>
    <w:rsid w:val="00C07D38"/>
    <w:rsid w:val="00C120F3"/>
    <w:rsid w:val="00C150AC"/>
    <w:rsid w:val="00C16BC2"/>
    <w:rsid w:val="00C20673"/>
    <w:rsid w:val="00C30F8D"/>
    <w:rsid w:val="00C32376"/>
    <w:rsid w:val="00C3320E"/>
    <w:rsid w:val="00C344C5"/>
    <w:rsid w:val="00C41A4D"/>
    <w:rsid w:val="00C433A5"/>
    <w:rsid w:val="00C50FDD"/>
    <w:rsid w:val="00C67769"/>
    <w:rsid w:val="00C705C4"/>
    <w:rsid w:val="00C90D0F"/>
    <w:rsid w:val="00C90DD6"/>
    <w:rsid w:val="00C91E35"/>
    <w:rsid w:val="00CB6BD9"/>
    <w:rsid w:val="00CC79DD"/>
    <w:rsid w:val="00CD041F"/>
    <w:rsid w:val="00CD2A68"/>
    <w:rsid w:val="00CD3AC2"/>
    <w:rsid w:val="00CE0836"/>
    <w:rsid w:val="00CE3EAF"/>
    <w:rsid w:val="00CE425D"/>
    <w:rsid w:val="00CE5E54"/>
    <w:rsid w:val="00CF4033"/>
    <w:rsid w:val="00CF517B"/>
    <w:rsid w:val="00CF5444"/>
    <w:rsid w:val="00CF7D05"/>
    <w:rsid w:val="00D03A14"/>
    <w:rsid w:val="00D10111"/>
    <w:rsid w:val="00D1472B"/>
    <w:rsid w:val="00D1529F"/>
    <w:rsid w:val="00D2082F"/>
    <w:rsid w:val="00D222BD"/>
    <w:rsid w:val="00D3279A"/>
    <w:rsid w:val="00D40EFC"/>
    <w:rsid w:val="00D44A6C"/>
    <w:rsid w:val="00D55CBA"/>
    <w:rsid w:val="00D63C5C"/>
    <w:rsid w:val="00D65654"/>
    <w:rsid w:val="00D65ADA"/>
    <w:rsid w:val="00D91CF8"/>
    <w:rsid w:val="00D925A8"/>
    <w:rsid w:val="00D96E2A"/>
    <w:rsid w:val="00D97801"/>
    <w:rsid w:val="00DA3F47"/>
    <w:rsid w:val="00DA6523"/>
    <w:rsid w:val="00DB0B3E"/>
    <w:rsid w:val="00DB0F43"/>
    <w:rsid w:val="00DB29E4"/>
    <w:rsid w:val="00DB4641"/>
    <w:rsid w:val="00DB6291"/>
    <w:rsid w:val="00DC5D30"/>
    <w:rsid w:val="00DC759D"/>
    <w:rsid w:val="00DD1147"/>
    <w:rsid w:val="00DE0FE3"/>
    <w:rsid w:val="00DF2CD4"/>
    <w:rsid w:val="00E00C7E"/>
    <w:rsid w:val="00E00E0A"/>
    <w:rsid w:val="00E11CBF"/>
    <w:rsid w:val="00E14F5C"/>
    <w:rsid w:val="00E2451F"/>
    <w:rsid w:val="00E30565"/>
    <w:rsid w:val="00E705A2"/>
    <w:rsid w:val="00E77DDA"/>
    <w:rsid w:val="00E807E6"/>
    <w:rsid w:val="00E834E5"/>
    <w:rsid w:val="00E903AC"/>
    <w:rsid w:val="00E925AF"/>
    <w:rsid w:val="00E93D65"/>
    <w:rsid w:val="00E97CB7"/>
    <w:rsid w:val="00EA13B9"/>
    <w:rsid w:val="00EA22A4"/>
    <w:rsid w:val="00EA6DC1"/>
    <w:rsid w:val="00EB47E2"/>
    <w:rsid w:val="00EB6D2F"/>
    <w:rsid w:val="00EC478F"/>
    <w:rsid w:val="00ED247F"/>
    <w:rsid w:val="00EE2DCF"/>
    <w:rsid w:val="00EE48EE"/>
    <w:rsid w:val="00EF26A6"/>
    <w:rsid w:val="00EF5850"/>
    <w:rsid w:val="00F00475"/>
    <w:rsid w:val="00F03C9B"/>
    <w:rsid w:val="00F04298"/>
    <w:rsid w:val="00F1454E"/>
    <w:rsid w:val="00F20AC6"/>
    <w:rsid w:val="00F22B94"/>
    <w:rsid w:val="00F2394F"/>
    <w:rsid w:val="00F26907"/>
    <w:rsid w:val="00F31162"/>
    <w:rsid w:val="00F3320E"/>
    <w:rsid w:val="00F33FE8"/>
    <w:rsid w:val="00F342E2"/>
    <w:rsid w:val="00F34A52"/>
    <w:rsid w:val="00F412C0"/>
    <w:rsid w:val="00F43DB3"/>
    <w:rsid w:val="00F44D1A"/>
    <w:rsid w:val="00F45A7B"/>
    <w:rsid w:val="00F53BF9"/>
    <w:rsid w:val="00F53E39"/>
    <w:rsid w:val="00F54477"/>
    <w:rsid w:val="00F5656A"/>
    <w:rsid w:val="00F64F61"/>
    <w:rsid w:val="00F777C5"/>
    <w:rsid w:val="00F85231"/>
    <w:rsid w:val="00F87211"/>
    <w:rsid w:val="00F901F0"/>
    <w:rsid w:val="00F92BE9"/>
    <w:rsid w:val="00F93EE1"/>
    <w:rsid w:val="00F94FAF"/>
    <w:rsid w:val="00F958F7"/>
    <w:rsid w:val="00FA2396"/>
    <w:rsid w:val="00FA490C"/>
    <w:rsid w:val="00FA4CF0"/>
    <w:rsid w:val="00FA65B1"/>
    <w:rsid w:val="00FB2425"/>
    <w:rsid w:val="00FB4EFD"/>
    <w:rsid w:val="00FB52C4"/>
    <w:rsid w:val="00FB70C0"/>
    <w:rsid w:val="00FC440D"/>
    <w:rsid w:val="00FC728A"/>
    <w:rsid w:val="00FD1318"/>
    <w:rsid w:val="00FD434A"/>
    <w:rsid w:val="00FE36AD"/>
    <w:rsid w:val="00FE69F7"/>
    <w:rsid w:val="00FE703E"/>
    <w:rsid w:val="00FF7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46"/>
    <w:rPr>
      <w:sz w:val="24"/>
    </w:rPr>
  </w:style>
  <w:style w:type="paragraph" w:styleId="Heading1">
    <w:name w:val="heading 1"/>
    <w:aliases w:val="Part"/>
    <w:basedOn w:val="Normal"/>
    <w:next w:val="Heading2"/>
    <w:qFormat/>
    <w:rsid w:val="004E5846"/>
    <w:pPr>
      <w:spacing w:after="240"/>
      <w:jc w:val="center"/>
      <w:outlineLvl w:val="0"/>
    </w:pPr>
    <w:rPr>
      <w:rFonts w:ascii="Arial" w:hAnsi="Arial"/>
      <w:b/>
      <w:sz w:val="32"/>
    </w:rPr>
  </w:style>
  <w:style w:type="paragraph" w:styleId="Heading2">
    <w:name w:val="heading 2"/>
    <w:aliases w:val="Chapter Title"/>
    <w:basedOn w:val="Normal"/>
    <w:next w:val="Heading4"/>
    <w:qFormat/>
    <w:rsid w:val="004E5846"/>
    <w:pPr>
      <w:spacing w:after="240"/>
      <w:jc w:val="center"/>
      <w:outlineLvl w:val="1"/>
    </w:pPr>
    <w:rPr>
      <w:rFonts w:ascii="Arial" w:hAnsi="Arial"/>
      <w:b/>
      <w:sz w:val="32"/>
    </w:rPr>
  </w:style>
  <w:style w:type="paragraph" w:styleId="Heading3">
    <w:name w:val="heading 3"/>
    <w:aliases w:val="Section"/>
    <w:basedOn w:val="Normal"/>
    <w:next w:val="Heading4"/>
    <w:qFormat/>
    <w:rsid w:val="004E5846"/>
    <w:pPr>
      <w:spacing w:after="240"/>
      <w:jc w:val="center"/>
      <w:outlineLvl w:val="2"/>
    </w:pPr>
    <w:rPr>
      <w:rFonts w:ascii="Arial" w:hAnsi="Arial"/>
      <w:b/>
      <w:sz w:val="32"/>
    </w:rPr>
  </w:style>
  <w:style w:type="paragraph" w:styleId="Heading4">
    <w:name w:val="heading 4"/>
    <w:aliases w:val="Map Title"/>
    <w:basedOn w:val="Normal"/>
    <w:next w:val="Normal"/>
    <w:qFormat/>
    <w:rsid w:val="004E5846"/>
    <w:pPr>
      <w:spacing w:after="240"/>
      <w:outlineLvl w:val="3"/>
    </w:pPr>
    <w:rPr>
      <w:rFonts w:ascii="Arial" w:hAnsi="Arial"/>
    </w:rPr>
  </w:style>
  <w:style w:type="paragraph" w:styleId="Heading5">
    <w:name w:val="heading 5"/>
    <w:aliases w:val="Block Label"/>
    <w:basedOn w:val="Normal"/>
    <w:next w:val="Normal"/>
    <w:qFormat/>
    <w:rsid w:val="004E5846"/>
    <w:pPr>
      <w:outlineLvl w:val="4"/>
    </w:pPr>
    <w:rPr>
      <w:b/>
      <w:sz w:val="22"/>
    </w:rPr>
  </w:style>
  <w:style w:type="paragraph" w:styleId="Heading6">
    <w:name w:val="heading 6"/>
    <w:basedOn w:val="Normal"/>
    <w:next w:val="Normal"/>
    <w:qFormat/>
    <w:rsid w:val="004E5846"/>
    <w:pPr>
      <w:spacing w:before="240" w:after="60"/>
      <w:outlineLvl w:val="5"/>
    </w:pPr>
    <w:rPr>
      <w:i/>
      <w:sz w:val="22"/>
    </w:rPr>
  </w:style>
  <w:style w:type="paragraph" w:styleId="Heading7">
    <w:name w:val="heading 7"/>
    <w:basedOn w:val="Normal"/>
    <w:next w:val="Normal"/>
    <w:qFormat/>
    <w:rsid w:val="004E5846"/>
    <w:pPr>
      <w:spacing w:before="240" w:after="60"/>
      <w:outlineLvl w:val="6"/>
    </w:pPr>
    <w:rPr>
      <w:rFonts w:ascii="Arial" w:hAnsi="Arial"/>
      <w:sz w:val="20"/>
    </w:rPr>
  </w:style>
  <w:style w:type="paragraph" w:styleId="Heading8">
    <w:name w:val="heading 8"/>
    <w:basedOn w:val="Normal"/>
    <w:next w:val="Normal"/>
    <w:qFormat/>
    <w:rsid w:val="004E5846"/>
    <w:pPr>
      <w:spacing w:before="240" w:after="60"/>
      <w:outlineLvl w:val="7"/>
    </w:pPr>
    <w:rPr>
      <w:rFonts w:ascii="Arial" w:hAnsi="Arial"/>
      <w:i/>
      <w:sz w:val="20"/>
    </w:rPr>
  </w:style>
  <w:style w:type="paragraph" w:styleId="Heading9">
    <w:name w:val="heading 9"/>
    <w:basedOn w:val="Normal"/>
    <w:next w:val="Normal"/>
    <w:qFormat/>
    <w:rsid w:val="004E584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5846"/>
    <w:pPr>
      <w:tabs>
        <w:tab w:val="center" w:pos="4320"/>
        <w:tab w:val="right" w:pos="8640"/>
      </w:tabs>
    </w:pPr>
  </w:style>
  <w:style w:type="paragraph" w:styleId="MacroText">
    <w:name w:val="macro"/>
    <w:semiHidden/>
    <w:rsid w:val="004E58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E5846"/>
    <w:pPr>
      <w:pBdr>
        <w:top w:val="single" w:sz="6" w:space="1" w:color="auto"/>
        <w:between w:val="single" w:sz="6" w:space="1" w:color="auto"/>
      </w:pBdr>
      <w:spacing w:before="240"/>
      <w:ind w:left="1700"/>
    </w:pPr>
  </w:style>
  <w:style w:type="paragraph" w:styleId="BlockText">
    <w:name w:val="Block Text"/>
    <w:basedOn w:val="Normal"/>
    <w:rsid w:val="004E5846"/>
  </w:style>
  <w:style w:type="paragraph" w:customStyle="1" w:styleId="BulletText1">
    <w:name w:val="Bullet Text 1"/>
    <w:basedOn w:val="Normal"/>
    <w:rsid w:val="004E5846"/>
    <w:pPr>
      <w:ind w:left="187" w:hanging="187"/>
    </w:pPr>
  </w:style>
  <w:style w:type="paragraph" w:customStyle="1" w:styleId="BulletText2">
    <w:name w:val="Bullet Text 2"/>
    <w:basedOn w:val="BulletText1"/>
    <w:rsid w:val="004E5846"/>
    <w:pPr>
      <w:ind w:left="360"/>
    </w:pPr>
  </w:style>
  <w:style w:type="paragraph" w:customStyle="1" w:styleId="ContinuedOnNextPa">
    <w:name w:val="Continued On Next Pa"/>
    <w:basedOn w:val="BlockLine"/>
    <w:next w:val="Normal"/>
    <w:rsid w:val="00360170"/>
    <w:pPr>
      <w:pBdr>
        <w:top w:val="single" w:sz="6" w:space="0" w:color="auto"/>
      </w:pBdr>
      <w:spacing w:before="120"/>
      <w:ind w:left="1440"/>
      <w:jc w:val="right"/>
    </w:pPr>
    <w:rPr>
      <w:rFonts w:cs="Arial"/>
      <w:i/>
      <w:color w:val="000000"/>
      <w:sz w:val="16"/>
      <w:szCs w:val="16"/>
    </w:rPr>
  </w:style>
  <w:style w:type="paragraph" w:customStyle="1" w:styleId="ContinuedTableLabe">
    <w:name w:val="Continued Table Labe"/>
    <w:basedOn w:val="Heading4"/>
    <w:rsid w:val="0069030B"/>
    <w:rPr>
      <w:b/>
      <w:sz w:val="32"/>
    </w:rPr>
  </w:style>
  <w:style w:type="paragraph" w:customStyle="1" w:styleId="MapTitleContinued">
    <w:name w:val="Map Title. Continued"/>
    <w:basedOn w:val="Normal"/>
    <w:rsid w:val="004E5846"/>
    <w:pPr>
      <w:spacing w:after="240"/>
    </w:pPr>
    <w:rPr>
      <w:rFonts w:ascii="Helvetica" w:hAnsi="Helvetica"/>
      <w:b/>
      <w:sz w:val="32"/>
    </w:rPr>
  </w:style>
  <w:style w:type="paragraph" w:customStyle="1" w:styleId="MemoLine">
    <w:name w:val="Memo Line"/>
    <w:basedOn w:val="BlockLine"/>
    <w:next w:val="Normal"/>
    <w:rsid w:val="004E5846"/>
    <w:pPr>
      <w:ind w:left="0"/>
    </w:pPr>
  </w:style>
  <w:style w:type="paragraph" w:styleId="Footer">
    <w:name w:val="footer"/>
    <w:basedOn w:val="Normal"/>
    <w:link w:val="FooterChar"/>
    <w:rsid w:val="004E5846"/>
    <w:pPr>
      <w:tabs>
        <w:tab w:val="center" w:pos="4320"/>
        <w:tab w:val="right" w:pos="8640"/>
      </w:tabs>
    </w:pPr>
  </w:style>
  <w:style w:type="character" w:styleId="PageNumber">
    <w:name w:val="page number"/>
    <w:basedOn w:val="DefaultParagraphFont"/>
    <w:rsid w:val="004E5846"/>
  </w:style>
  <w:style w:type="paragraph" w:customStyle="1" w:styleId="TableText">
    <w:name w:val="Table Text"/>
    <w:basedOn w:val="Normal"/>
    <w:rsid w:val="004E5846"/>
  </w:style>
  <w:style w:type="paragraph" w:customStyle="1" w:styleId="NoteText">
    <w:name w:val="Note Text"/>
    <w:basedOn w:val="BlockText"/>
    <w:rsid w:val="004E5846"/>
  </w:style>
  <w:style w:type="paragraph" w:customStyle="1" w:styleId="TableHeaderText">
    <w:name w:val="Table Header Text"/>
    <w:basedOn w:val="TableText"/>
    <w:rsid w:val="004E5846"/>
    <w:pPr>
      <w:jc w:val="center"/>
    </w:pPr>
    <w:rPr>
      <w:b/>
    </w:rPr>
  </w:style>
  <w:style w:type="paragraph" w:customStyle="1" w:styleId="EmbeddedText">
    <w:name w:val="Embedded Text"/>
    <w:basedOn w:val="TableText"/>
    <w:rsid w:val="004E5846"/>
  </w:style>
  <w:style w:type="paragraph" w:styleId="TOC1">
    <w:name w:val="toc 1"/>
    <w:basedOn w:val="Normal"/>
    <w:next w:val="Normal"/>
    <w:semiHidden/>
    <w:rsid w:val="004E5846"/>
    <w:pPr>
      <w:tabs>
        <w:tab w:val="right" w:leader="dot" w:pos="10800"/>
      </w:tabs>
    </w:pPr>
  </w:style>
  <w:style w:type="paragraph" w:styleId="TOC2">
    <w:name w:val="toc 2"/>
    <w:basedOn w:val="Normal"/>
    <w:next w:val="Normal"/>
    <w:semiHidden/>
    <w:rsid w:val="004E5846"/>
    <w:pPr>
      <w:tabs>
        <w:tab w:val="right" w:leader="dot" w:pos="10800"/>
      </w:tabs>
      <w:ind w:left="240"/>
    </w:pPr>
  </w:style>
  <w:style w:type="paragraph" w:styleId="BodyText3">
    <w:name w:val="Body Text 3"/>
    <w:basedOn w:val="Normal"/>
    <w:rsid w:val="004E5846"/>
    <w:rPr>
      <w:b/>
      <w:sz w:val="18"/>
    </w:rPr>
  </w:style>
  <w:style w:type="paragraph" w:styleId="BodyText2">
    <w:name w:val="Body Text 2"/>
    <w:basedOn w:val="Normal"/>
    <w:rsid w:val="004E5846"/>
    <w:rPr>
      <w:b/>
      <w:sz w:val="16"/>
    </w:rPr>
  </w:style>
  <w:style w:type="paragraph" w:styleId="Title">
    <w:name w:val="Title"/>
    <w:basedOn w:val="Normal"/>
    <w:qFormat/>
    <w:rsid w:val="004E5846"/>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4E5846"/>
    <w:rPr>
      <w:color w:val="0000FF"/>
      <w:u w:val="single"/>
    </w:rPr>
  </w:style>
  <w:style w:type="paragraph" w:customStyle="1" w:styleId="Extmemo">
    <w:name w:val="Extmemo"/>
    <w:basedOn w:val="Normal"/>
    <w:rsid w:val="004E5846"/>
    <w:pPr>
      <w:spacing w:line="240" w:lineRule="exact"/>
    </w:pPr>
    <w:rPr>
      <w:rFonts w:ascii="Times" w:hAnsi="Times"/>
    </w:rPr>
  </w:style>
  <w:style w:type="paragraph" w:styleId="PlainText">
    <w:name w:val="Plain Text"/>
    <w:basedOn w:val="Normal"/>
    <w:rsid w:val="004E5846"/>
    <w:rPr>
      <w:rFonts w:ascii="Courier New" w:hAnsi="Courier New"/>
      <w:sz w:val="20"/>
    </w:rPr>
  </w:style>
  <w:style w:type="character" w:styleId="FollowedHyperlink">
    <w:name w:val="FollowedHyperlink"/>
    <w:basedOn w:val="DefaultParagraphFont"/>
    <w:rsid w:val="004E5846"/>
    <w:rPr>
      <w:color w:val="800080"/>
      <w:u w:val="single"/>
    </w:rPr>
  </w:style>
  <w:style w:type="paragraph" w:styleId="DocumentMap">
    <w:name w:val="Document Map"/>
    <w:basedOn w:val="Normal"/>
    <w:semiHidden/>
    <w:rsid w:val="004E5846"/>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CD3AC2"/>
    <w:pPr>
      <w:spacing w:before="100" w:beforeAutospacing="1" w:after="100" w:afterAutospacing="1"/>
    </w:pPr>
    <w:rPr>
      <w:szCs w:val="24"/>
    </w:rPr>
  </w:style>
  <w:style w:type="character" w:styleId="Emphasis">
    <w:name w:val="Emphasis"/>
    <w:basedOn w:val="DefaultParagraphFont"/>
    <w:qFormat/>
    <w:rsid w:val="00CD3AC2"/>
    <w:rPr>
      <w:i/>
      <w:iCs/>
    </w:rPr>
  </w:style>
  <w:style w:type="paragraph" w:styleId="NoSpacing">
    <w:name w:val="No Spacing"/>
    <w:basedOn w:val="Normal"/>
    <w:uiPriority w:val="1"/>
    <w:qFormat/>
    <w:rsid w:val="002B69A0"/>
    <w:rPr>
      <w:rFonts w:ascii="Calibri" w:eastAsia="Calibri" w:hAnsi="Calibri"/>
      <w:sz w:val="22"/>
      <w:szCs w:val="22"/>
    </w:rPr>
  </w:style>
  <w:style w:type="character" w:customStyle="1" w:styleId="NormalWebChar">
    <w:name w:val="Normal (Web) Char"/>
    <w:basedOn w:val="DefaultParagraphFont"/>
    <w:link w:val="NormalWeb"/>
    <w:rsid w:val="0074416A"/>
    <w:rPr>
      <w:sz w:val="24"/>
      <w:szCs w:val="24"/>
    </w:rPr>
  </w:style>
  <w:style w:type="paragraph" w:styleId="ListParagraph">
    <w:name w:val="List Paragraph"/>
    <w:basedOn w:val="Normal"/>
    <w:uiPriority w:val="34"/>
    <w:qFormat/>
    <w:rsid w:val="0074416A"/>
    <w:pPr>
      <w:ind w:left="720"/>
    </w:pPr>
    <w:rPr>
      <w:rFonts w:ascii="Calibri" w:eastAsia="Calibri" w:hAnsi="Calibri"/>
      <w:sz w:val="22"/>
      <w:szCs w:val="22"/>
    </w:rPr>
  </w:style>
  <w:style w:type="paragraph" w:styleId="BodyText">
    <w:name w:val="Body Text"/>
    <w:basedOn w:val="Normal"/>
    <w:link w:val="BodyTextChar"/>
    <w:rsid w:val="0074416A"/>
    <w:pPr>
      <w:spacing w:after="120"/>
    </w:pPr>
  </w:style>
  <w:style w:type="character" w:customStyle="1" w:styleId="BodyTextChar">
    <w:name w:val="Body Text Char"/>
    <w:basedOn w:val="DefaultParagraphFont"/>
    <w:link w:val="BodyText"/>
    <w:rsid w:val="0074416A"/>
    <w:rPr>
      <w:sz w:val="24"/>
    </w:rPr>
  </w:style>
  <w:style w:type="paragraph" w:customStyle="1" w:styleId="Heading1ContinuedAfter8pt">
    <w:name w:val="Heading 1 Continued + After:  8 pt"/>
    <w:basedOn w:val="MapTitleContinued"/>
    <w:autoRedefine/>
    <w:qFormat/>
    <w:rsid w:val="00B20FF2"/>
    <w:pPr>
      <w:spacing w:before="120" w:after="120"/>
    </w:pPr>
    <w:rPr>
      <w:rFonts w:ascii="Times New Roman" w:hAnsi="Times New Roman"/>
      <w:bCs/>
      <w:noProof/>
      <w:sz w:val="20"/>
    </w:rPr>
  </w:style>
  <w:style w:type="character" w:styleId="CommentReference">
    <w:name w:val="annotation reference"/>
    <w:basedOn w:val="DefaultParagraphFont"/>
    <w:semiHidden/>
    <w:unhideWhenUsed/>
    <w:rsid w:val="00D2082F"/>
    <w:rPr>
      <w:sz w:val="16"/>
      <w:szCs w:val="16"/>
    </w:rPr>
  </w:style>
  <w:style w:type="paragraph" w:styleId="CommentText">
    <w:name w:val="annotation text"/>
    <w:basedOn w:val="Normal"/>
    <w:link w:val="CommentTextChar"/>
    <w:semiHidden/>
    <w:unhideWhenUsed/>
    <w:rsid w:val="00D2082F"/>
    <w:rPr>
      <w:sz w:val="20"/>
    </w:rPr>
  </w:style>
  <w:style w:type="character" w:customStyle="1" w:styleId="CommentTextChar">
    <w:name w:val="Comment Text Char"/>
    <w:basedOn w:val="DefaultParagraphFont"/>
    <w:link w:val="CommentText"/>
    <w:semiHidden/>
    <w:rsid w:val="00D2082F"/>
  </w:style>
  <w:style w:type="paragraph" w:styleId="CommentSubject">
    <w:name w:val="annotation subject"/>
    <w:basedOn w:val="CommentText"/>
    <w:next w:val="CommentText"/>
    <w:link w:val="CommentSubjectChar"/>
    <w:semiHidden/>
    <w:unhideWhenUsed/>
    <w:rsid w:val="00D2082F"/>
    <w:rPr>
      <w:b/>
      <w:bCs/>
    </w:rPr>
  </w:style>
  <w:style w:type="character" w:customStyle="1" w:styleId="CommentSubjectChar">
    <w:name w:val="Comment Subject Char"/>
    <w:basedOn w:val="CommentTextChar"/>
    <w:link w:val="CommentSubject"/>
    <w:semiHidden/>
    <w:rsid w:val="00D2082F"/>
    <w:rPr>
      <w:b/>
      <w:bCs/>
    </w:rPr>
  </w:style>
  <w:style w:type="character" w:customStyle="1" w:styleId="FooterChar">
    <w:name w:val="Footer Char"/>
    <w:basedOn w:val="DefaultParagraphFont"/>
    <w:link w:val="Footer"/>
    <w:rsid w:val="00A41E11"/>
    <w:rPr>
      <w:sz w:val="24"/>
    </w:rPr>
  </w:style>
</w:styles>
</file>

<file path=word/webSettings.xml><?xml version="1.0" encoding="utf-8"?>
<w:webSettings xmlns:r="http://schemas.openxmlformats.org/officeDocument/2006/relationships" xmlns:w="http://schemas.openxmlformats.org/wordprocessingml/2006/main">
  <w:divs>
    <w:div w:id="144666090">
      <w:bodyDiv w:val="1"/>
      <w:marLeft w:val="0"/>
      <w:marRight w:val="0"/>
      <w:marTop w:val="0"/>
      <w:marBottom w:val="0"/>
      <w:divBdr>
        <w:top w:val="none" w:sz="0" w:space="0" w:color="auto"/>
        <w:left w:val="none" w:sz="0" w:space="0" w:color="auto"/>
        <w:bottom w:val="none" w:sz="0" w:space="0" w:color="auto"/>
        <w:right w:val="none" w:sz="0" w:space="0" w:color="auto"/>
      </w:divBdr>
    </w:div>
    <w:div w:id="1238398975">
      <w:bodyDiv w:val="1"/>
      <w:marLeft w:val="0"/>
      <w:marRight w:val="0"/>
      <w:marTop w:val="0"/>
      <w:marBottom w:val="0"/>
      <w:divBdr>
        <w:top w:val="none" w:sz="0" w:space="0" w:color="auto"/>
        <w:left w:val="none" w:sz="0" w:space="0" w:color="auto"/>
        <w:bottom w:val="none" w:sz="0" w:space="0" w:color="auto"/>
        <w:right w:val="none" w:sz="0" w:space="0" w:color="auto"/>
      </w:divBdr>
    </w:div>
    <w:div w:id="1275868786">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doa.virginia.gov/Payroll/Forms/Payroll_Forms_Main.cfm" TargetMode="External"/><Relationship Id="rId4" Type="http://schemas.openxmlformats.org/officeDocument/2006/relationships/settings" Target="settings.xml"/><Relationship Id="rId9" Type="http://schemas.openxmlformats.org/officeDocument/2006/relationships/hyperlink" Target="http://www.doa.virginia.gov/Payroll/Training/CIPPS_Intro_Training/CIPPS_Training_Manual.cf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F5CC-873D-4279-9227-2BCE9745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80</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Payroll Bulletin</vt:lpstr>
    </vt:vector>
  </TitlesOfParts>
  <Company>Virginia Department of Accounts</Company>
  <LinksUpToDate>false</LinksUpToDate>
  <CharactersWithSpaces>3817</CharactersWithSpaces>
  <SharedDoc>false</SharedDoc>
  <HLinks>
    <vt:vector size="48" baseType="variant">
      <vt:variant>
        <vt:i4>2621522</vt:i4>
      </vt:variant>
      <vt:variant>
        <vt:i4>18</vt:i4>
      </vt:variant>
      <vt:variant>
        <vt:i4>0</vt:i4>
      </vt:variant>
      <vt:variant>
        <vt:i4>5</vt:i4>
      </vt:variant>
      <vt:variant>
        <vt:lpwstr>mailto:payroll@doa.virginia.gov</vt:lpwstr>
      </vt:variant>
      <vt:variant>
        <vt:lpwstr/>
      </vt:variant>
      <vt:variant>
        <vt:i4>1114208</vt:i4>
      </vt:variant>
      <vt:variant>
        <vt:i4>15</vt:i4>
      </vt:variant>
      <vt:variant>
        <vt:i4>0</vt:i4>
      </vt:variant>
      <vt:variant>
        <vt:i4>5</vt:i4>
      </vt:variant>
      <vt:variant>
        <vt:lpwstr>http://www.doa.virginia.gov/Payroll/Training/Leave_Intro_Training/LEAVE_Intro_Training_Manual.cfm</vt:lpwstr>
      </vt:variant>
      <vt:variant>
        <vt:lpwstr/>
      </vt:variant>
      <vt:variant>
        <vt:i4>5242896</vt:i4>
      </vt:variant>
      <vt:variant>
        <vt:i4>12</vt:i4>
      </vt:variant>
      <vt:variant>
        <vt:i4>0</vt:i4>
      </vt:variant>
      <vt:variant>
        <vt:i4>5</vt:i4>
      </vt:variant>
      <vt:variant>
        <vt:lpwstr>http://www.doa.virginia.gov/Payroll/Training/CIPPS_Intro_Training/CIPPS_Training_Manual.cfm</vt:lpwstr>
      </vt:variant>
      <vt:variant>
        <vt:lpwstr/>
      </vt:variant>
      <vt:variant>
        <vt:i4>5242896</vt:i4>
      </vt:variant>
      <vt:variant>
        <vt:i4>9</vt:i4>
      </vt:variant>
      <vt:variant>
        <vt:i4>0</vt:i4>
      </vt:variant>
      <vt:variant>
        <vt:i4>5</vt:i4>
      </vt:variant>
      <vt:variant>
        <vt:lpwstr>http://www.doa.virginia.gov/Payroll/Training/CIPPS_Intro_Training/CIPPS_Training_Manual.cfm</vt:lpwstr>
      </vt:variant>
      <vt:variant>
        <vt:lpwstr/>
      </vt:variant>
      <vt:variant>
        <vt:i4>2621522</vt:i4>
      </vt:variant>
      <vt:variant>
        <vt:i4>6</vt:i4>
      </vt:variant>
      <vt:variant>
        <vt:i4>0</vt:i4>
      </vt:variant>
      <vt:variant>
        <vt:i4>5</vt:i4>
      </vt:variant>
      <vt:variant>
        <vt:lpwstr>mailto:payroll@doa.virginia.gov</vt:lpwstr>
      </vt:variant>
      <vt:variant>
        <vt:lpwstr/>
      </vt:variant>
      <vt:variant>
        <vt:i4>2818163</vt:i4>
      </vt:variant>
      <vt:variant>
        <vt:i4>3</vt:i4>
      </vt:variant>
      <vt:variant>
        <vt:i4>0</vt:i4>
      </vt:variant>
      <vt:variant>
        <vt:i4>5</vt:i4>
      </vt:variant>
      <vt:variant>
        <vt:lpwstr>https://covkc.virginia.gov/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2015-07</dc:title>
  <dc:subject>Payroll Bulletin 2015-07</dc:subject>
  <dc:creator>Virginia Department of Accounts</dc:creator>
  <cp:keywords>Payroll Bulletin 2015-07</cp:keywords>
  <cp:lastModifiedBy>McGill</cp:lastModifiedBy>
  <cp:revision>16</cp:revision>
  <cp:lastPrinted>2015-02-06T14:17:00Z</cp:lastPrinted>
  <dcterms:created xsi:type="dcterms:W3CDTF">2015-06-11T15:30:00Z</dcterms:created>
  <dcterms:modified xsi:type="dcterms:W3CDTF">2015-07-01T15:46:00Z</dcterms:modified>
  <cp:category>Payroll Bulletin 2015-07</cp:category>
</cp:coreProperties>
</file>