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211" w:rsidRDefault="00B20211" w:rsidP="00B20211">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Department of Accounts</w:t>
      </w:r>
    </w:p>
    <w:p w:rsidR="00B20211" w:rsidRDefault="00B20211" w:rsidP="00B20211">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Payroll Bulletin</w:t>
      </w:r>
    </w:p>
    <w:p w:rsidR="00B20211" w:rsidRDefault="00B20211" w:rsidP="00B20211">
      <w:pPr>
        <w:pStyle w:val="Header"/>
        <w:jc w:val="center"/>
        <w:rPr>
          <w:sz w:val="16"/>
        </w:rPr>
      </w:pPr>
    </w:p>
    <w:tbl>
      <w:tblPr>
        <w:tblW w:w="0" w:type="auto"/>
        <w:tblInd w:w="18" w:type="dxa"/>
        <w:tblLayout w:type="fixed"/>
        <w:tblLook w:val="0000"/>
      </w:tblPr>
      <w:tblGrid>
        <w:gridCol w:w="3348"/>
        <w:gridCol w:w="3366"/>
        <w:gridCol w:w="3366"/>
      </w:tblGrid>
      <w:tr w:rsidR="00B20211" w:rsidTr="007F51A7">
        <w:tblPrEx>
          <w:tblCellMar>
            <w:top w:w="0" w:type="dxa"/>
            <w:bottom w:w="0" w:type="dxa"/>
          </w:tblCellMar>
        </w:tblPrEx>
        <w:trPr>
          <w:cantSplit/>
        </w:trPr>
        <w:tc>
          <w:tcPr>
            <w:tcW w:w="3348" w:type="dxa"/>
            <w:tcBorders>
              <w:bottom w:val="double" w:sz="6" w:space="0" w:color="auto"/>
            </w:tcBorders>
          </w:tcPr>
          <w:p w:rsidR="00B20211" w:rsidRDefault="00B20211" w:rsidP="006B618E">
            <w:pPr>
              <w:pStyle w:val="Header"/>
              <w:rPr>
                <w:b/>
                <w:sz w:val="20"/>
              </w:rPr>
            </w:pPr>
            <w:r>
              <w:rPr>
                <w:b/>
                <w:sz w:val="20"/>
              </w:rPr>
              <w:t xml:space="preserve">Calendar Year </w:t>
            </w:r>
            <w:r w:rsidR="00BC16C7">
              <w:rPr>
                <w:b/>
                <w:sz w:val="20"/>
              </w:rPr>
              <w:t>201</w:t>
            </w:r>
            <w:r w:rsidR="006B618E">
              <w:rPr>
                <w:b/>
                <w:sz w:val="20"/>
              </w:rPr>
              <w:t>6</w:t>
            </w:r>
          </w:p>
        </w:tc>
        <w:tc>
          <w:tcPr>
            <w:tcW w:w="3366" w:type="dxa"/>
            <w:tcBorders>
              <w:bottom w:val="double" w:sz="6" w:space="0" w:color="auto"/>
            </w:tcBorders>
          </w:tcPr>
          <w:p w:rsidR="00B20211" w:rsidRDefault="006B618E" w:rsidP="004A70E4">
            <w:pPr>
              <w:pStyle w:val="Header"/>
              <w:jc w:val="center"/>
              <w:rPr>
                <w:b/>
                <w:sz w:val="20"/>
              </w:rPr>
            </w:pPr>
            <w:r>
              <w:rPr>
                <w:b/>
                <w:sz w:val="20"/>
              </w:rPr>
              <w:t xml:space="preserve">March </w:t>
            </w:r>
            <w:r w:rsidR="003E202C">
              <w:rPr>
                <w:b/>
                <w:sz w:val="20"/>
              </w:rPr>
              <w:t>1</w:t>
            </w:r>
            <w:r w:rsidR="004A70E4">
              <w:rPr>
                <w:b/>
                <w:sz w:val="20"/>
              </w:rPr>
              <w:t>4</w:t>
            </w:r>
            <w:r w:rsidR="00415425">
              <w:rPr>
                <w:b/>
                <w:sz w:val="20"/>
              </w:rPr>
              <w:t>, 201</w:t>
            </w:r>
            <w:r w:rsidR="003E202C">
              <w:rPr>
                <w:b/>
                <w:sz w:val="20"/>
              </w:rPr>
              <w:t>6</w:t>
            </w:r>
          </w:p>
        </w:tc>
        <w:tc>
          <w:tcPr>
            <w:tcW w:w="3366" w:type="dxa"/>
            <w:tcBorders>
              <w:bottom w:val="double" w:sz="6" w:space="0" w:color="auto"/>
            </w:tcBorders>
          </w:tcPr>
          <w:p w:rsidR="00B20211" w:rsidRDefault="00B20211" w:rsidP="003E202C">
            <w:pPr>
              <w:pStyle w:val="Header"/>
              <w:jc w:val="right"/>
              <w:rPr>
                <w:b/>
                <w:sz w:val="20"/>
              </w:rPr>
            </w:pPr>
            <w:r>
              <w:rPr>
                <w:b/>
                <w:sz w:val="20"/>
              </w:rPr>
              <w:t xml:space="preserve">Volume </w:t>
            </w:r>
            <w:r w:rsidR="006B618E">
              <w:rPr>
                <w:b/>
                <w:sz w:val="20"/>
              </w:rPr>
              <w:t>2016</w:t>
            </w:r>
            <w:r w:rsidR="00415425">
              <w:rPr>
                <w:b/>
                <w:sz w:val="20"/>
              </w:rPr>
              <w:t>-</w:t>
            </w:r>
            <w:r w:rsidR="003E202C">
              <w:rPr>
                <w:b/>
                <w:sz w:val="20"/>
              </w:rPr>
              <w:t>02</w:t>
            </w:r>
          </w:p>
        </w:tc>
      </w:tr>
    </w:tbl>
    <w:p w:rsidR="00B20211" w:rsidRDefault="00B20211" w:rsidP="00B20211">
      <w:pPr>
        <w:tabs>
          <w:tab w:val="left" w:pos="990"/>
        </w:tabs>
        <w:jc w:val="center"/>
      </w:pPr>
    </w:p>
    <w:p w:rsidR="00B20211" w:rsidRDefault="00B20211" w:rsidP="00B20211">
      <w:pPr>
        <w:tabs>
          <w:tab w:val="left" w:pos="990"/>
        </w:tabs>
      </w:pPr>
    </w:p>
    <w:tbl>
      <w:tblPr>
        <w:tblW w:w="0" w:type="auto"/>
        <w:tblLook w:val="01E0"/>
      </w:tblPr>
      <w:tblGrid>
        <w:gridCol w:w="2245"/>
        <w:gridCol w:w="4112"/>
        <w:gridCol w:w="3795"/>
      </w:tblGrid>
      <w:tr w:rsidR="00B20211" w:rsidTr="00612422">
        <w:tc>
          <w:tcPr>
            <w:tcW w:w="2245" w:type="dxa"/>
          </w:tcPr>
          <w:p w:rsidR="00B20211" w:rsidRPr="00612422" w:rsidRDefault="00B20211" w:rsidP="00612422">
            <w:pPr>
              <w:tabs>
                <w:tab w:val="left" w:pos="990"/>
              </w:tabs>
              <w:spacing w:before="120"/>
              <w:rPr>
                <w:i/>
                <w:sz w:val="32"/>
                <w:szCs w:val="32"/>
              </w:rPr>
            </w:pPr>
            <w:r w:rsidRPr="00612422">
              <w:rPr>
                <w:i/>
                <w:sz w:val="32"/>
                <w:szCs w:val="32"/>
              </w:rPr>
              <w:t>In This Issue of the Payroll Bulletin…....</w:t>
            </w:r>
          </w:p>
          <w:p w:rsidR="00B20211" w:rsidRPr="00612422" w:rsidRDefault="00B20211" w:rsidP="00612422">
            <w:pPr>
              <w:spacing w:before="120"/>
              <w:rPr>
                <w:b/>
              </w:rPr>
            </w:pPr>
          </w:p>
        </w:tc>
        <w:tc>
          <w:tcPr>
            <w:tcW w:w="4112" w:type="dxa"/>
          </w:tcPr>
          <w:p w:rsidR="00E02CD9" w:rsidRDefault="00E02CD9" w:rsidP="00612422">
            <w:pPr>
              <w:numPr>
                <w:ilvl w:val="0"/>
                <w:numId w:val="2"/>
              </w:numPr>
              <w:tabs>
                <w:tab w:val="left" w:pos="990"/>
              </w:tabs>
              <w:spacing w:before="60"/>
              <w:ind w:left="547"/>
              <w:rPr>
                <w:b/>
                <w:szCs w:val="24"/>
              </w:rPr>
            </w:pPr>
            <w:r>
              <w:rPr>
                <w:b/>
                <w:szCs w:val="24"/>
              </w:rPr>
              <w:t>Pay</w:t>
            </w:r>
            <w:r w:rsidR="004D774C">
              <w:rPr>
                <w:b/>
                <w:szCs w:val="24"/>
              </w:rPr>
              <w:t xml:space="preserve"> C</w:t>
            </w:r>
            <w:r>
              <w:rPr>
                <w:b/>
                <w:szCs w:val="24"/>
              </w:rPr>
              <w:t xml:space="preserve">ard </w:t>
            </w:r>
            <w:r w:rsidR="00B40828">
              <w:rPr>
                <w:b/>
                <w:szCs w:val="24"/>
              </w:rPr>
              <w:t>Changes</w:t>
            </w:r>
          </w:p>
          <w:p w:rsidR="00B20211" w:rsidRPr="00580CFE" w:rsidRDefault="00FD2839" w:rsidP="00612422">
            <w:pPr>
              <w:numPr>
                <w:ilvl w:val="0"/>
                <w:numId w:val="2"/>
              </w:numPr>
              <w:tabs>
                <w:tab w:val="left" w:pos="990"/>
              </w:tabs>
              <w:spacing w:before="60"/>
              <w:ind w:left="547"/>
              <w:rPr>
                <w:b/>
                <w:szCs w:val="24"/>
              </w:rPr>
            </w:pPr>
            <w:r>
              <w:rPr>
                <w:b/>
                <w:szCs w:val="24"/>
              </w:rPr>
              <w:t xml:space="preserve">Health </w:t>
            </w:r>
            <w:r w:rsidR="00466E69">
              <w:rPr>
                <w:b/>
                <w:szCs w:val="24"/>
              </w:rPr>
              <w:t>Insurance Recons</w:t>
            </w:r>
          </w:p>
          <w:p w:rsidR="00B20211" w:rsidRPr="00612422" w:rsidRDefault="001952D4" w:rsidP="00612422">
            <w:pPr>
              <w:numPr>
                <w:ilvl w:val="0"/>
                <w:numId w:val="2"/>
              </w:numPr>
              <w:tabs>
                <w:tab w:val="left" w:pos="990"/>
              </w:tabs>
              <w:spacing w:before="60"/>
              <w:ind w:left="547"/>
              <w:rPr>
                <w:sz w:val="28"/>
                <w:szCs w:val="28"/>
              </w:rPr>
            </w:pPr>
            <w:r w:rsidRPr="001952D4">
              <w:rPr>
                <w:b/>
                <w:szCs w:val="24"/>
              </w:rPr>
              <w:t>Child Support</w:t>
            </w:r>
          </w:p>
        </w:tc>
        <w:tc>
          <w:tcPr>
            <w:tcW w:w="3795" w:type="dxa"/>
          </w:tcPr>
          <w:p w:rsidR="00B20211" w:rsidRPr="00612422" w:rsidRDefault="00B20211" w:rsidP="00612422">
            <w:pPr>
              <w:tabs>
                <w:tab w:val="left" w:pos="990"/>
              </w:tabs>
              <w:spacing w:before="120"/>
              <w:rPr>
                <w:sz w:val="20"/>
              </w:rPr>
            </w:pPr>
            <w:r w:rsidRPr="00612422">
              <w:rPr>
                <w:sz w:val="20"/>
              </w:rPr>
              <w:t xml:space="preserve">The Payroll Bulletin is published periodically to provide CIPPS agencies guidance regarding Commonwealth payroll operations.  If you have any questions about the bulletin, please call Cathy McGill at (804) 371-7800 or Email at </w:t>
            </w:r>
            <w:hyperlink r:id="rId8" w:history="1">
              <w:r w:rsidRPr="00612422">
                <w:rPr>
                  <w:rStyle w:val="Hyperlink"/>
                  <w:sz w:val="20"/>
                </w:rPr>
                <w:t>cathy.mcgill@doa.virginia.gov</w:t>
              </w:r>
            </w:hyperlink>
          </w:p>
          <w:p w:rsidR="00B20211" w:rsidRPr="00612422" w:rsidRDefault="00B20211" w:rsidP="00612422">
            <w:pPr>
              <w:tabs>
                <w:tab w:val="left" w:pos="990"/>
              </w:tabs>
              <w:spacing w:before="120"/>
              <w:jc w:val="both"/>
              <w:rPr>
                <w:sz w:val="20"/>
                <w:u w:val="single"/>
              </w:rPr>
            </w:pPr>
            <w:r w:rsidRPr="00612422">
              <w:rPr>
                <w:sz w:val="20"/>
                <w:u w:val="single"/>
              </w:rPr>
              <w:t>State Payroll Operations</w:t>
            </w:r>
          </w:p>
          <w:p w:rsidR="00B20211" w:rsidRPr="00612422" w:rsidRDefault="00B20211" w:rsidP="00612422">
            <w:pPr>
              <w:tabs>
                <w:tab w:val="left" w:pos="990"/>
              </w:tabs>
              <w:spacing w:before="120"/>
              <w:rPr>
                <w:sz w:val="20"/>
              </w:rPr>
            </w:pPr>
            <w:r w:rsidRPr="00612422">
              <w:rPr>
                <w:b/>
                <w:sz w:val="20"/>
              </w:rPr>
              <w:t>Director                         Lora L. George</w:t>
            </w:r>
          </w:p>
          <w:p w:rsidR="00B20211" w:rsidRPr="00612422" w:rsidRDefault="00B20211" w:rsidP="00612422">
            <w:pPr>
              <w:tabs>
                <w:tab w:val="left" w:pos="990"/>
              </w:tabs>
              <w:spacing w:before="120"/>
              <w:rPr>
                <w:szCs w:val="24"/>
              </w:rPr>
            </w:pPr>
            <w:r w:rsidRPr="00612422">
              <w:rPr>
                <w:sz w:val="20"/>
              </w:rPr>
              <w:t>Assistant Director          Cathy C. McGill</w:t>
            </w:r>
          </w:p>
        </w:tc>
      </w:tr>
    </w:tbl>
    <w:p w:rsidR="00B20211" w:rsidRPr="00C50FDD" w:rsidRDefault="00B20211" w:rsidP="00C50FDD">
      <w:pPr>
        <w:pStyle w:val="BlockLine"/>
        <w:spacing w:before="120"/>
        <w:ind w:left="1620"/>
        <w:rPr>
          <w:sz w:val="16"/>
          <w:szCs w:val="16"/>
        </w:rPr>
      </w:pPr>
    </w:p>
    <w:p w:rsidR="007700AC" w:rsidRDefault="007700AC" w:rsidP="007700AC">
      <w:pPr>
        <w:pStyle w:val="Heading4"/>
        <w:spacing w:after="0"/>
        <w:rPr>
          <w:rFonts w:ascii="Times New Roman" w:hAnsi="Times New Roman"/>
          <w:b/>
          <w:sz w:val="28"/>
          <w:szCs w:val="28"/>
        </w:rPr>
      </w:pPr>
      <w:r>
        <w:rPr>
          <w:rFonts w:ascii="Times New Roman" w:hAnsi="Times New Roman"/>
          <w:b/>
          <w:sz w:val="28"/>
          <w:szCs w:val="28"/>
        </w:rPr>
        <w:t>Pay</w:t>
      </w:r>
      <w:r w:rsidR="004D774C">
        <w:rPr>
          <w:rFonts w:ascii="Times New Roman" w:hAnsi="Times New Roman"/>
          <w:b/>
          <w:sz w:val="28"/>
          <w:szCs w:val="28"/>
        </w:rPr>
        <w:t xml:space="preserve"> C</w:t>
      </w:r>
      <w:r>
        <w:rPr>
          <w:rFonts w:ascii="Times New Roman" w:hAnsi="Times New Roman"/>
          <w:b/>
          <w:sz w:val="28"/>
          <w:szCs w:val="28"/>
        </w:rPr>
        <w:t xml:space="preserve">ard </w:t>
      </w:r>
      <w:r w:rsidR="00B40828">
        <w:rPr>
          <w:rFonts w:ascii="Times New Roman" w:hAnsi="Times New Roman"/>
          <w:b/>
          <w:sz w:val="28"/>
          <w:szCs w:val="28"/>
        </w:rPr>
        <w:t>Changes</w:t>
      </w:r>
    </w:p>
    <w:p w:rsidR="007700AC" w:rsidRPr="00C50FDD" w:rsidRDefault="007700AC" w:rsidP="007700AC">
      <w:pPr>
        <w:pStyle w:val="BlockLine"/>
        <w:ind w:left="1620"/>
        <w:rPr>
          <w:sz w:val="16"/>
          <w:szCs w:val="16"/>
        </w:rPr>
      </w:pPr>
    </w:p>
    <w:tbl>
      <w:tblPr>
        <w:tblW w:w="10188" w:type="dxa"/>
        <w:tblLayout w:type="fixed"/>
        <w:tblLook w:val="0000"/>
      </w:tblPr>
      <w:tblGrid>
        <w:gridCol w:w="1458"/>
        <w:gridCol w:w="8730"/>
      </w:tblGrid>
      <w:tr w:rsidR="0079072D" w:rsidRPr="007700AC" w:rsidTr="00B001A0">
        <w:tblPrEx>
          <w:tblCellMar>
            <w:top w:w="0" w:type="dxa"/>
            <w:bottom w:w="0" w:type="dxa"/>
          </w:tblCellMar>
        </w:tblPrEx>
        <w:trPr>
          <w:cantSplit/>
        </w:trPr>
        <w:tc>
          <w:tcPr>
            <w:tcW w:w="1458" w:type="dxa"/>
          </w:tcPr>
          <w:p w:rsidR="0079072D" w:rsidRPr="007700AC" w:rsidRDefault="001466D1" w:rsidP="007700AC">
            <w:pPr>
              <w:pStyle w:val="Heading5"/>
              <w:rPr>
                <w:sz w:val="24"/>
                <w:szCs w:val="24"/>
              </w:rPr>
            </w:pPr>
            <w:r>
              <w:rPr>
                <w:sz w:val="24"/>
                <w:szCs w:val="24"/>
              </w:rPr>
              <w:t xml:space="preserve">Pay Card (EPPICard) </w:t>
            </w:r>
            <w:r w:rsidR="00924138">
              <w:rPr>
                <w:sz w:val="24"/>
                <w:szCs w:val="24"/>
              </w:rPr>
              <w:t>Account Number C</w:t>
            </w:r>
            <w:r w:rsidR="007700AC" w:rsidRPr="007700AC">
              <w:rPr>
                <w:sz w:val="24"/>
                <w:szCs w:val="24"/>
              </w:rPr>
              <w:t>hanges</w:t>
            </w:r>
          </w:p>
        </w:tc>
        <w:tc>
          <w:tcPr>
            <w:tcW w:w="8730" w:type="dxa"/>
          </w:tcPr>
          <w:p w:rsidR="001466D1" w:rsidRPr="004D774C" w:rsidRDefault="007700AC" w:rsidP="00176083">
            <w:pPr>
              <w:pStyle w:val="BlockText"/>
              <w:tabs>
                <w:tab w:val="left" w:pos="4554"/>
              </w:tabs>
              <w:ind w:left="162"/>
              <w:rPr>
                <w:sz w:val="22"/>
                <w:szCs w:val="22"/>
              </w:rPr>
            </w:pPr>
            <w:r w:rsidRPr="004D774C">
              <w:rPr>
                <w:sz w:val="22"/>
                <w:szCs w:val="22"/>
              </w:rPr>
              <w:t>The contract for the pay</w:t>
            </w:r>
            <w:r w:rsidR="001466D1" w:rsidRPr="004D774C">
              <w:rPr>
                <w:sz w:val="22"/>
                <w:szCs w:val="22"/>
              </w:rPr>
              <w:t xml:space="preserve"> </w:t>
            </w:r>
            <w:r w:rsidRPr="004D774C">
              <w:rPr>
                <w:sz w:val="22"/>
                <w:szCs w:val="22"/>
              </w:rPr>
              <w:t xml:space="preserve">card </w:t>
            </w:r>
            <w:r w:rsidR="001466D1" w:rsidRPr="004D774C">
              <w:rPr>
                <w:sz w:val="22"/>
                <w:szCs w:val="22"/>
              </w:rPr>
              <w:t xml:space="preserve">has been </w:t>
            </w:r>
            <w:r w:rsidRPr="004D774C">
              <w:rPr>
                <w:sz w:val="22"/>
                <w:szCs w:val="22"/>
              </w:rPr>
              <w:t>renewed with Xerox</w:t>
            </w:r>
            <w:r w:rsidR="001466D1" w:rsidRPr="004D774C">
              <w:rPr>
                <w:sz w:val="22"/>
                <w:szCs w:val="22"/>
              </w:rPr>
              <w:t>.  However</w:t>
            </w:r>
            <w:r w:rsidRPr="004D774C">
              <w:rPr>
                <w:sz w:val="22"/>
                <w:szCs w:val="22"/>
              </w:rPr>
              <w:t xml:space="preserve"> effective April 1; </w:t>
            </w:r>
            <w:r w:rsidR="001466D1" w:rsidRPr="004D774C">
              <w:rPr>
                <w:sz w:val="22"/>
                <w:szCs w:val="22"/>
              </w:rPr>
              <w:t xml:space="preserve">the platform Xerox will use for the pay card will be changing.  The pay card will change from “Eppicard” to the “GoProgram”.  Detailed information will be distributed by Xerox to card holders.  </w:t>
            </w:r>
          </w:p>
          <w:p w:rsidR="001466D1" w:rsidRPr="004D774C" w:rsidRDefault="001466D1" w:rsidP="00176083">
            <w:pPr>
              <w:pStyle w:val="BlockText"/>
              <w:tabs>
                <w:tab w:val="left" w:pos="4554"/>
              </w:tabs>
              <w:ind w:left="162"/>
              <w:rPr>
                <w:sz w:val="22"/>
                <w:szCs w:val="22"/>
              </w:rPr>
            </w:pPr>
          </w:p>
          <w:p w:rsidR="001466D1" w:rsidRPr="004D774C" w:rsidRDefault="001466D1" w:rsidP="00176083">
            <w:pPr>
              <w:pStyle w:val="BlockText"/>
              <w:tabs>
                <w:tab w:val="left" w:pos="4554"/>
              </w:tabs>
              <w:ind w:left="162"/>
              <w:rPr>
                <w:sz w:val="22"/>
                <w:szCs w:val="22"/>
              </w:rPr>
            </w:pPr>
            <w:r w:rsidRPr="004D774C">
              <w:rPr>
                <w:sz w:val="22"/>
                <w:szCs w:val="22"/>
              </w:rPr>
              <w:t xml:space="preserve">This change will also require some </w:t>
            </w:r>
            <w:r w:rsidR="008D4AF2" w:rsidRPr="004D774C">
              <w:rPr>
                <w:sz w:val="22"/>
                <w:szCs w:val="22"/>
              </w:rPr>
              <w:t xml:space="preserve">system </w:t>
            </w:r>
            <w:r w:rsidR="007700AC" w:rsidRPr="004D774C">
              <w:rPr>
                <w:sz w:val="22"/>
                <w:szCs w:val="22"/>
              </w:rPr>
              <w:t xml:space="preserve">changes </w:t>
            </w:r>
            <w:r w:rsidRPr="004D774C">
              <w:rPr>
                <w:sz w:val="22"/>
                <w:szCs w:val="22"/>
              </w:rPr>
              <w:t>that will disrupt the ability to place funds on those cards for a short period in April.  The account numbers found on H0BB1 for all participants will be changed.  The new account information will not be available until Xerox has made the system conversion scheduled for the early morning hours of Saturday April 2.  Cardholders will continue to use their current card for purchases until a later date when the cards will be replaced.  However</w:t>
            </w:r>
            <w:r w:rsidR="00CC26E6">
              <w:rPr>
                <w:sz w:val="22"/>
                <w:szCs w:val="22"/>
              </w:rPr>
              <w:t>,</w:t>
            </w:r>
            <w:r w:rsidRPr="004D774C">
              <w:rPr>
                <w:sz w:val="22"/>
                <w:szCs w:val="22"/>
              </w:rPr>
              <w:t xml:space="preserve"> after the final certification (3/25) for the semi-monthly check date of March 31 all direct deposit deductions for funds going to routing number 072000096 will be deactivated.  </w:t>
            </w:r>
            <w:r w:rsidR="00176083" w:rsidRPr="004D774C">
              <w:rPr>
                <w:sz w:val="22"/>
                <w:szCs w:val="22"/>
              </w:rPr>
              <w:t xml:space="preserve">Any </w:t>
            </w:r>
            <w:r w:rsidRPr="00CC26E6">
              <w:rPr>
                <w:b/>
                <w:sz w:val="22"/>
                <w:szCs w:val="22"/>
              </w:rPr>
              <w:t>net pay amounts</w:t>
            </w:r>
            <w:r w:rsidRPr="004D774C">
              <w:rPr>
                <w:sz w:val="22"/>
                <w:szCs w:val="22"/>
              </w:rPr>
              <w:t xml:space="preserve"> which would normally go to the pay card </w:t>
            </w:r>
            <w:r w:rsidR="00176083" w:rsidRPr="004D774C">
              <w:rPr>
                <w:sz w:val="22"/>
                <w:szCs w:val="22"/>
              </w:rPr>
              <w:t xml:space="preserve">processed between March 28 and </w:t>
            </w:r>
            <w:r w:rsidR="00176083" w:rsidRPr="004D774C">
              <w:rPr>
                <w:i/>
                <w:sz w:val="22"/>
                <w:szCs w:val="22"/>
              </w:rPr>
              <w:t>approximately</w:t>
            </w:r>
            <w:r w:rsidR="00176083" w:rsidRPr="004D774C">
              <w:rPr>
                <w:sz w:val="22"/>
                <w:szCs w:val="22"/>
              </w:rPr>
              <w:t xml:space="preserve"> April </w:t>
            </w:r>
            <w:r w:rsidR="004D774C" w:rsidRPr="004D774C">
              <w:rPr>
                <w:sz w:val="22"/>
                <w:szCs w:val="22"/>
              </w:rPr>
              <w:t>5</w:t>
            </w:r>
            <w:r w:rsidR="00176083" w:rsidRPr="004D774C">
              <w:rPr>
                <w:sz w:val="22"/>
                <w:szCs w:val="22"/>
              </w:rPr>
              <w:t xml:space="preserve"> will be made by paper check.  </w:t>
            </w:r>
            <w:r w:rsidR="004D774C" w:rsidRPr="004D774C">
              <w:rPr>
                <w:sz w:val="22"/>
                <w:szCs w:val="22"/>
              </w:rPr>
              <w:t xml:space="preserve">All </w:t>
            </w:r>
            <w:r w:rsidR="004D774C" w:rsidRPr="00CC26E6">
              <w:rPr>
                <w:b/>
                <w:sz w:val="22"/>
                <w:szCs w:val="22"/>
              </w:rPr>
              <w:t>fixed amounts</w:t>
            </w:r>
            <w:r w:rsidR="004D774C" w:rsidRPr="004D774C">
              <w:rPr>
                <w:sz w:val="22"/>
                <w:szCs w:val="22"/>
              </w:rPr>
              <w:t xml:space="preserve"> will be suspended.  Please ensure you communicate this information to affected employees as soon as possible.</w:t>
            </w:r>
          </w:p>
          <w:p w:rsidR="001466D1" w:rsidRPr="004D774C" w:rsidRDefault="001466D1" w:rsidP="00176083">
            <w:pPr>
              <w:pStyle w:val="BlockText"/>
              <w:tabs>
                <w:tab w:val="left" w:pos="4554"/>
              </w:tabs>
              <w:ind w:left="162"/>
              <w:rPr>
                <w:sz w:val="22"/>
                <w:szCs w:val="22"/>
              </w:rPr>
            </w:pPr>
          </w:p>
          <w:p w:rsidR="00486725" w:rsidRDefault="004D774C" w:rsidP="00176083">
            <w:pPr>
              <w:pStyle w:val="BlockText"/>
              <w:tabs>
                <w:tab w:val="left" w:pos="4554"/>
              </w:tabs>
              <w:ind w:left="162"/>
              <w:rPr>
                <w:sz w:val="22"/>
                <w:szCs w:val="22"/>
              </w:rPr>
            </w:pPr>
            <w:r w:rsidRPr="004D774C">
              <w:rPr>
                <w:sz w:val="22"/>
                <w:szCs w:val="22"/>
              </w:rPr>
              <w:t>By April 4 the Department of Accounts should receive the new account information from Xerox.  DOA will use this information to create transactions to update H0BB1 with the account data.  DOA will also reactivate the associated direct deposit deduction.  Again, at this time c</w:t>
            </w:r>
            <w:r w:rsidR="001466D1" w:rsidRPr="004D774C">
              <w:rPr>
                <w:sz w:val="22"/>
                <w:szCs w:val="22"/>
              </w:rPr>
              <w:t xml:space="preserve">ardholders will continue to use the same card they already have in their possession </w:t>
            </w:r>
            <w:r w:rsidRPr="004D774C">
              <w:rPr>
                <w:sz w:val="22"/>
                <w:szCs w:val="22"/>
              </w:rPr>
              <w:t xml:space="preserve">regardless of the </w:t>
            </w:r>
            <w:r w:rsidR="001466D1" w:rsidRPr="004D774C">
              <w:rPr>
                <w:sz w:val="22"/>
                <w:szCs w:val="22"/>
              </w:rPr>
              <w:t xml:space="preserve">account number </w:t>
            </w:r>
            <w:r w:rsidRPr="004D774C">
              <w:rPr>
                <w:sz w:val="22"/>
                <w:szCs w:val="22"/>
              </w:rPr>
              <w:t xml:space="preserve">change on </w:t>
            </w:r>
            <w:r>
              <w:rPr>
                <w:sz w:val="22"/>
                <w:szCs w:val="22"/>
              </w:rPr>
              <w:t>H0BB1.</w:t>
            </w:r>
          </w:p>
          <w:p w:rsidR="004D774C" w:rsidRDefault="004D774C" w:rsidP="004D774C">
            <w:pPr>
              <w:pStyle w:val="BlockText"/>
              <w:tabs>
                <w:tab w:val="left" w:pos="4554"/>
              </w:tabs>
              <w:ind w:left="162"/>
              <w:rPr>
                <w:sz w:val="22"/>
                <w:szCs w:val="22"/>
              </w:rPr>
            </w:pPr>
          </w:p>
          <w:p w:rsidR="004D774C" w:rsidRPr="004D774C" w:rsidRDefault="004D774C" w:rsidP="004D774C">
            <w:pPr>
              <w:pStyle w:val="BlockText"/>
              <w:tabs>
                <w:tab w:val="left" w:pos="4554"/>
              </w:tabs>
              <w:ind w:left="162"/>
              <w:rPr>
                <w:sz w:val="22"/>
                <w:szCs w:val="22"/>
              </w:rPr>
            </w:pPr>
            <w:r>
              <w:rPr>
                <w:sz w:val="22"/>
                <w:szCs w:val="22"/>
              </w:rPr>
              <w:t xml:space="preserve">If you have a wage payroll that will have a check date between April 1 and April 5, please coordinate with DOA to </w:t>
            </w:r>
            <w:r w:rsidR="00340826">
              <w:rPr>
                <w:sz w:val="22"/>
                <w:szCs w:val="22"/>
              </w:rPr>
              <w:t>obtain a listing of those employees who may be affected.</w:t>
            </w:r>
          </w:p>
          <w:p w:rsidR="00176083" w:rsidRPr="004D774C" w:rsidRDefault="00176083" w:rsidP="00176083">
            <w:pPr>
              <w:pStyle w:val="BlockText"/>
              <w:tabs>
                <w:tab w:val="left" w:pos="4554"/>
              </w:tabs>
              <w:ind w:left="162"/>
              <w:rPr>
                <w:sz w:val="22"/>
                <w:szCs w:val="22"/>
              </w:rPr>
            </w:pPr>
          </w:p>
          <w:p w:rsidR="00176083" w:rsidRPr="007700AC" w:rsidRDefault="00FA7A22" w:rsidP="00176083">
            <w:pPr>
              <w:pStyle w:val="BlockText"/>
              <w:tabs>
                <w:tab w:val="left" w:pos="4554"/>
              </w:tabs>
              <w:ind w:left="162"/>
              <w:rPr>
                <w:szCs w:val="24"/>
              </w:rPr>
            </w:pPr>
            <w:r w:rsidRPr="004D774C">
              <w:rPr>
                <w:sz w:val="22"/>
                <w:szCs w:val="22"/>
              </w:rPr>
              <w:t>We will distribute a mass update once the changes have been completed so you will know when direct deposits will resume.</w:t>
            </w:r>
          </w:p>
        </w:tc>
      </w:tr>
    </w:tbl>
    <w:p w:rsidR="00B20211" w:rsidRPr="007700AC" w:rsidRDefault="00B20211" w:rsidP="00B20211">
      <w:pPr>
        <w:pStyle w:val="BlockLine"/>
        <w:ind w:left="1620"/>
        <w:rPr>
          <w:szCs w:val="24"/>
        </w:rPr>
      </w:pPr>
    </w:p>
    <w:p w:rsidR="00EB6181" w:rsidRDefault="004D774C" w:rsidP="00EB6181">
      <w:pPr>
        <w:pStyle w:val="Heading4"/>
        <w:spacing w:after="0"/>
        <w:rPr>
          <w:rFonts w:ascii="Times New Roman" w:hAnsi="Times New Roman"/>
          <w:b/>
          <w:sz w:val="28"/>
          <w:szCs w:val="28"/>
        </w:rPr>
      </w:pPr>
      <w:r>
        <w:rPr>
          <w:rFonts w:ascii="Times New Roman" w:hAnsi="Times New Roman"/>
          <w:b/>
          <w:sz w:val="28"/>
          <w:szCs w:val="28"/>
        </w:rPr>
        <w:br w:type="page"/>
      </w:r>
      <w:r w:rsidR="00EB6181">
        <w:rPr>
          <w:rFonts w:ascii="Times New Roman" w:hAnsi="Times New Roman"/>
          <w:b/>
          <w:sz w:val="28"/>
          <w:szCs w:val="28"/>
        </w:rPr>
        <w:lastRenderedPageBreak/>
        <w:t>Child Support</w:t>
      </w:r>
    </w:p>
    <w:p w:rsidR="00EB6181" w:rsidRPr="00C50FDD" w:rsidRDefault="00EB6181" w:rsidP="00EB6181">
      <w:pPr>
        <w:pStyle w:val="BlockLine"/>
        <w:ind w:left="1620"/>
        <w:rPr>
          <w:sz w:val="16"/>
          <w:szCs w:val="16"/>
        </w:rPr>
      </w:pPr>
    </w:p>
    <w:tbl>
      <w:tblPr>
        <w:tblW w:w="10188" w:type="dxa"/>
        <w:tblLayout w:type="fixed"/>
        <w:tblLook w:val="0000"/>
      </w:tblPr>
      <w:tblGrid>
        <w:gridCol w:w="1728"/>
        <w:gridCol w:w="8460"/>
      </w:tblGrid>
      <w:tr w:rsidR="00EB6181" w:rsidTr="00BA6BD8">
        <w:tblPrEx>
          <w:tblCellMar>
            <w:top w:w="0" w:type="dxa"/>
            <w:bottom w:w="0" w:type="dxa"/>
          </w:tblCellMar>
        </w:tblPrEx>
        <w:trPr>
          <w:cantSplit/>
        </w:trPr>
        <w:tc>
          <w:tcPr>
            <w:tcW w:w="1728" w:type="dxa"/>
          </w:tcPr>
          <w:p w:rsidR="00EB6181" w:rsidRDefault="00340826" w:rsidP="00340826">
            <w:pPr>
              <w:pStyle w:val="Heading5"/>
            </w:pPr>
            <w:r>
              <w:t xml:space="preserve">Absolutely </w:t>
            </w:r>
            <w:r w:rsidR="00EB6181">
              <w:t xml:space="preserve">No </w:t>
            </w:r>
            <w:r>
              <w:t>Deduction R</w:t>
            </w:r>
            <w:r w:rsidR="00EB6181">
              <w:t>efunds</w:t>
            </w:r>
          </w:p>
        </w:tc>
        <w:tc>
          <w:tcPr>
            <w:tcW w:w="8460" w:type="dxa"/>
          </w:tcPr>
          <w:p w:rsidR="00EB6181" w:rsidRDefault="00EB6181" w:rsidP="00BA6BD8">
            <w:r>
              <w:t xml:space="preserve">If a child support payment has been withheld in error from an employee, please do not </w:t>
            </w:r>
            <w:r w:rsidR="00340826">
              <w:t xml:space="preserve">perform a deduction </w:t>
            </w:r>
            <w:r>
              <w:t>refund through CIPPS. You will need to contact the Division of Child Support Services at 1-800-468-8894 to recover the incorrectly paid amount.</w:t>
            </w:r>
          </w:p>
        </w:tc>
      </w:tr>
    </w:tbl>
    <w:p w:rsidR="00EB6181" w:rsidRPr="007700AC" w:rsidRDefault="00EB6181" w:rsidP="00EB6181">
      <w:pPr>
        <w:pStyle w:val="BlockLine"/>
        <w:ind w:left="1620"/>
        <w:rPr>
          <w:szCs w:val="24"/>
        </w:rPr>
      </w:pPr>
      <w:r>
        <w:t xml:space="preserve"> </w:t>
      </w:r>
    </w:p>
    <w:p w:rsidR="00404F89" w:rsidRDefault="00404F89" w:rsidP="00404F89">
      <w:pPr>
        <w:pStyle w:val="Heading4"/>
        <w:spacing w:after="0"/>
        <w:rPr>
          <w:rFonts w:ascii="Times New Roman" w:hAnsi="Times New Roman"/>
          <w:b/>
          <w:sz w:val="28"/>
          <w:szCs w:val="28"/>
        </w:rPr>
      </w:pPr>
      <w:r>
        <w:rPr>
          <w:rFonts w:ascii="Times New Roman" w:hAnsi="Times New Roman"/>
          <w:b/>
          <w:sz w:val="28"/>
          <w:szCs w:val="28"/>
        </w:rPr>
        <w:t>Health Insurance Reconciliations</w:t>
      </w:r>
    </w:p>
    <w:p w:rsidR="00404F89" w:rsidRPr="00C50FDD" w:rsidRDefault="00404F89" w:rsidP="00404F89">
      <w:pPr>
        <w:pStyle w:val="BlockLine"/>
        <w:ind w:left="1620"/>
        <w:rPr>
          <w:sz w:val="16"/>
          <w:szCs w:val="16"/>
        </w:rPr>
      </w:pPr>
    </w:p>
    <w:tbl>
      <w:tblPr>
        <w:tblW w:w="10188" w:type="dxa"/>
        <w:tblLayout w:type="fixed"/>
        <w:tblLook w:val="0000"/>
      </w:tblPr>
      <w:tblGrid>
        <w:gridCol w:w="1458"/>
        <w:gridCol w:w="8730"/>
      </w:tblGrid>
      <w:tr w:rsidR="00404F89" w:rsidTr="00E16562">
        <w:tblPrEx>
          <w:tblCellMar>
            <w:top w:w="0" w:type="dxa"/>
            <w:bottom w:w="0" w:type="dxa"/>
          </w:tblCellMar>
        </w:tblPrEx>
        <w:trPr>
          <w:cantSplit/>
        </w:trPr>
        <w:tc>
          <w:tcPr>
            <w:tcW w:w="1458" w:type="dxa"/>
          </w:tcPr>
          <w:p w:rsidR="00404F89" w:rsidRDefault="00404F89" w:rsidP="00E16562">
            <w:pPr>
              <w:pStyle w:val="Heading5"/>
            </w:pPr>
            <w:r>
              <w:t>New Email Address</w:t>
            </w:r>
          </w:p>
        </w:tc>
        <w:tc>
          <w:tcPr>
            <w:tcW w:w="8730" w:type="dxa"/>
          </w:tcPr>
          <w:p w:rsidR="0047681B" w:rsidRDefault="0047681B" w:rsidP="00E16562">
            <w:pPr>
              <w:ind w:left="162"/>
              <w:rPr>
                <w:color w:val="000000"/>
              </w:rPr>
            </w:pPr>
            <w:r>
              <w:rPr>
                <w:color w:val="000000"/>
              </w:rPr>
              <w:t>Everyone should be aware by now that the health insurance reconciliation process changed somewhat with the implementation of Cardinal effective February 1, 2016.</w:t>
            </w:r>
          </w:p>
          <w:p w:rsidR="0047681B" w:rsidRDefault="0047681B" w:rsidP="00E16562">
            <w:pPr>
              <w:ind w:left="162"/>
              <w:rPr>
                <w:color w:val="000000"/>
              </w:rPr>
            </w:pPr>
          </w:p>
          <w:p w:rsidR="00BA56B9" w:rsidRDefault="0047681B" w:rsidP="00E16562">
            <w:pPr>
              <w:ind w:left="162"/>
              <w:rPr>
                <w:color w:val="000000"/>
              </w:rPr>
            </w:pPr>
            <w:r>
              <w:rPr>
                <w:color w:val="000000"/>
              </w:rPr>
              <w:t xml:space="preserve">Agencies no longer key </w:t>
            </w:r>
            <w:r w:rsidR="00E16562">
              <w:rPr>
                <w:color w:val="000000"/>
              </w:rPr>
              <w:t xml:space="preserve">adjustment </w:t>
            </w:r>
            <w:r>
              <w:rPr>
                <w:color w:val="000000"/>
              </w:rPr>
              <w:t>IATs into CARS.  A</w:t>
            </w:r>
            <w:r w:rsidR="00CF740F">
              <w:rPr>
                <w:color w:val="000000"/>
              </w:rPr>
              <w:t>gencies enter adjustment information in an Agency to Agency transfer (ATA) using the template</w:t>
            </w:r>
            <w:r w:rsidR="00BA56B9">
              <w:rPr>
                <w:color w:val="000000"/>
              </w:rPr>
              <w:t>s</w:t>
            </w:r>
            <w:r w:rsidR="00CF740F">
              <w:rPr>
                <w:color w:val="000000"/>
              </w:rPr>
              <w:t xml:space="preserve"> provided </w:t>
            </w:r>
            <w:r w:rsidR="00BA56B9">
              <w:rPr>
                <w:color w:val="000000"/>
              </w:rPr>
              <w:t xml:space="preserve">at the bottom of </w:t>
            </w:r>
            <w:r w:rsidR="00CF740F">
              <w:rPr>
                <w:color w:val="000000"/>
              </w:rPr>
              <w:t>the Cardinal website</w:t>
            </w:r>
            <w:r w:rsidR="00BA56B9">
              <w:rPr>
                <w:color w:val="000000"/>
              </w:rPr>
              <w:t xml:space="preserve"> Forms</w:t>
            </w:r>
            <w:r w:rsidR="00340826">
              <w:rPr>
                <w:color w:val="000000"/>
              </w:rPr>
              <w:t xml:space="preserve"> page</w:t>
            </w:r>
            <w:r w:rsidR="00E16562">
              <w:rPr>
                <w:color w:val="000000"/>
              </w:rPr>
              <w:t>:</w:t>
            </w:r>
          </w:p>
          <w:p w:rsidR="00BA56B9" w:rsidRDefault="00BA56B9" w:rsidP="00E16562">
            <w:pPr>
              <w:ind w:left="162"/>
              <w:rPr>
                <w:color w:val="000000"/>
              </w:rPr>
            </w:pPr>
          </w:p>
          <w:p w:rsidR="00BA56B9" w:rsidRDefault="00BA56B9" w:rsidP="00E16562">
            <w:pPr>
              <w:ind w:left="162"/>
              <w:rPr>
                <w:color w:val="000000"/>
              </w:rPr>
            </w:pPr>
            <w:hyperlink r:id="rId9" w:history="1">
              <w:r w:rsidRPr="005F1ACC">
                <w:rPr>
                  <w:rStyle w:val="Hyperlink"/>
                </w:rPr>
                <w:t>http://www.cardinalproject.virginia.gov/Statewide%20Forms.shtml</w:t>
              </w:r>
            </w:hyperlink>
          </w:p>
          <w:p w:rsidR="00BA56B9" w:rsidRDefault="00BA56B9" w:rsidP="00E16562">
            <w:pPr>
              <w:ind w:left="162"/>
              <w:rPr>
                <w:color w:val="000000"/>
              </w:rPr>
            </w:pPr>
          </w:p>
          <w:p w:rsidR="00BA56B9" w:rsidRDefault="00BA56B9" w:rsidP="00E16562">
            <w:pPr>
              <w:ind w:left="162"/>
              <w:rPr>
                <w:color w:val="000000"/>
              </w:rPr>
            </w:pPr>
            <w:r>
              <w:rPr>
                <w:color w:val="000000"/>
              </w:rPr>
              <w:t>Follow steps 1 – 19 on the Job Aid for Uploading a Spreadsheet Journal (GL332)</w:t>
            </w:r>
          </w:p>
          <w:p w:rsidR="00BA56B9" w:rsidRDefault="00BA56B9" w:rsidP="00E16562">
            <w:pPr>
              <w:ind w:left="162"/>
              <w:rPr>
                <w:color w:val="000000"/>
              </w:rPr>
            </w:pPr>
          </w:p>
          <w:p w:rsidR="00BA56B9" w:rsidRDefault="00BA56B9" w:rsidP="00E16562">
            <w:pPr>
              <w:ind w:left="162"/>
              <w:rPr>
                <w:color w:val="000000"/>
              </w:rPr>
            </w:pPr>
            <w:hyperlink r:id="rId10" w:history="1">
              <w:r w:rsidRPr="005F1ACC">
                <w:rPr>
                  <w:rStyle w:val="Hyperlink"/>
                </w:rPr>
                <w:t>http://www.cardinalproject.virginia.gov/Statewide%20Training/Simulations/GL332Simulati</w:t>
              </w:r>
              <w:r w:rsidRPr="005F1ACC">
                <w:rPr>
                  <w:rStyle w:val="Hyperlink"/>
                </w:rPr>
                <w:t>o</w:t>
              </w:r>
              <w:r w:rsidRPr="005F1ACC">
                <w:rPr>
                  <w:rStyle w:val="Hyperlink"/>
                </w:rPr>
                <w:t>n/toc0.html</w:t>
              </w:r>
            </w:hyperlink>
          </w:p>
          <w:p w:rsidR="00BA56B9" w:rsidRDefault="00BA56B9" w:rsidP="00E16562">
            <w:pPr>
              <w:ind w:left="162"/>
              <w:rPr>
                <w:color w:val="000000"/>
              </w:rPr>
            </w:pPr>
          </w:p>
          <w:p w:rsidR="00404F89" w:rsidRDefault="00BA56B9" w:rsidP="00E16562">
            <w:pPr>
              <w:ind w:left="162"/>
              <w:rPr>
                <w:color w:val="000000"/>
              </w:rPr>
            </w:pPr>
            <w:r>
              <w:rPr>
                <w:color w:val="000000"/>
              </w:rPr>
              <w:t xml:space="preserve">The resulting file should be saved as a .txt file and sent to </w:t>
            </w:r>
            <w:r w:rsidR="00404F89">
              <w:rPr>
                <w:color w:val="000000"/>
              </w:rPr>
              <w:t>the following email address</w:t>
            </w:r>
            <w:r>
              <w:rPr>
                <w:color w:val="000000"/>
              </w:rPr>
              <w:t xml:space="preserve"> </w:t>
            </w:r>
            <w:r w:rsidRPr="00340826">
              <w:rPr>
                <w:b/>
                <w:color w:val="000000"/>
              </w:rPr>
              <w:t>dedicated to health recons</w:t>
            </w:r>
            <w:r>
              <w:rPr>
                <w:color w:val="000000"/>
              </w:rPr>
              <w:t xml:space="preserve">: </w:t>
            </w:r>
            <w:r w:rsidR="00404F89">
              <w:rPr>
                <w:color w:val="000000"/>
              </w:rPr>
              <w:t xml:space="preserve">  </w:t>
            </w:r>
          </w:p>
          <w:p w:rsidR="00404F89" w:rsidRDefault="00404F89" w:rsidP="00E16562">
            <w:pPr>
              <w:ind w:left="162"/>
              <w:rPr>
                <w:color w:val="000000"/>
              </w:rPr>
            </w:pPr>
          </w:p>
          <w:p w:rsidR="00404F89" w:rsidRDefault="00993D45" w:rsidP="00E16562">
            <w:pPr>
              <w:ind w:left="162"/>
              <w:rPr>
                <w:color w:val="000000"/>
              </w:rPr>
            </w:pPr>
            <w:hyperlink r:id="rId11" w:history="1">
              <w:r w:rsidRPr="000E57C9">
                <w:rPr>
                  <w:rStyle w:val="Hyperlink"/>
                </w:rPr>
                <w:t>HealthRecons@doa.virginia.gov</w:t>
              </w:r>
            </w:hyperlink>
          </w:p>
          <w:p w:rsidR="00404F89" w:rsidRDefault="00404F89" w:rsidP="00E16562">
            <w:pPr>
              <w:ind w:left="162"/>
              <w:rPr>
                <w:color w:val="000000"/>
              </w:rPr>
            </w:pPr>
          </w:p>
          <w:p w:rsidR="00404F89" w:rsidRDefault="00BA56B9" w:rsidP="00E16562">
            <w:pPr>
              <w:ind w:left="162"/>
            </w:pPr>
            <w:r>
              <w:t xml:space="preserve">Please send only the ATA file to this email.  </w:t>
            </w:r>
            <w:r w:rsidR="00404F89">
              <w:t>Supporting documentation should continue to be sent as before</w:t>
            </w:r>
            <w:r>
              <w:t>, either by fax or interoffice mail</w:t>
            </w:r>
            <w:r w:rsidR="00404F89">
              <w:t>.</w:t>
            </w:r>
          </w:p>
        </w:tc>
      </w:tr>
    </w:tbl>
    <w:p w:rsidR="00404F89" w:rsidRDefault="00404F89" w:rsidP="00404F89">
      <w:pPr>
        <w:pStyle w:val="BlockLine"/>
        <w:ind w:left="1620"/>
        <w:rPr>
          <w:sz w:val="16"/>
          <w:szCs w:val="16"/>
        </w:rPr>
      </w:pPr>
    </w:p>
    <w:p w:rsidR="00CA60F6" w:rsidRDefault="00374067" w:rsidP="00374067">
      <w:pPr>
        <w:pStyle w:val="Heading4"/>
        <w:spacing w:after="0"/>
      </w:pPr>
      <w:r>
        <w:t xml:space="preserve"> </w:t>
      </w:r>
    </w:p>
    <w:p w:rsidR="0078110A" w:rsidRDefault="0078110A" w:rsidP="0078110A">
      <w:pPr>
        <w:tabs>
          <w:tab w:val="left" w:pos="990"/>
        </w:tabs>
      </w:pPr>
    </w:p>
    <w:p w:rsidR="0078110A" w:rsidRDefault="0078110A" w:rsidP="0078110A">
      <w:pPr>
        <w:tabs>
          <w:tab w:val="left" w:pos="990"/>
        </w:tabs>
      </w:pPr>
    </w:p>
    <w:sectPr w:rsidR="0078110A" w:rsidSect="00B97E16">
      <w:headerReference w:type="default" r:id="rId12"/>
      <w:footerReference w:type="default" r:id="rId13"/>
      <w:pgSz w:w="12240" w:h="15840" w:code="1"/>
      <w:pgMar w:top="720" w:right="1152" w:bottom="360" w:left="1152" w:header="288" w:footer="28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952" w:rsidRDefault="00074952">
      <w:r>
        <w:separator/>
      </w:r>
    </w:p>
  </w:endnote>
  <w:endnote w:type="continuationSeparator" w:id="0">
    <w:p w:rsidR="00074952" w:rsidRDefault="0007495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6DF" w:rsidRDefault="00B136DF" w:rsidP="00DD1147">
    <w:pPr>
      <w:pStyle w:val="Footer"/>
      <w:pBdr>
        <w:top w:val="single" w:sz="6" w:space="0" w:color="auto"/>
      </w:pBdr>
      <w:tabs>
        <w:tab w:val="clear" w:pos="4320"/>
        <w:tab w:val="clear" w:pos="8640"/>
        <w:tab w:val="left" w:pos="5940"/>
      </w:tabs>
      <w:ind w:right="-414"/>
      <w:jc w:val="center"/>
      <w:rPr>
        <w:i/>
        <w:snapToGrid w:val="0"/>
        <w:sz w:val="22"/>
      </w:rPr>
    </w:pPr>
    <w:r>
      <w:rPr>
        <w:i/>
        <w:snapToGrid w:val="0"/>
        <w:sz w:val="22"/>
      </w:rPr>
      <w:t xml:space="preserve">Page </w:t>
    </w:r>
    <w:r>
      <w:rPr>
        <w:rStyle w:val="PageNumber"/>
      </w:rPr>
      <w:fldChar w:fldCharType="begin"/>
    </w:r>
    <w:r>
      <w:rPr>
        <w:rStyle w:val="PageNumber"/>
      </w:rPr>
      <w:instrText xml:space="preserve"> PAGE </w:instrText>
    </w:r>
    <w:r>
      <w:rPr>
        <w:rStyle w:val="PageNumber"/>
      </w:rPr>
      <w:fldChar w:fldCharType="separate"/>
    </w:r>
    <w:r w:rsidR="003F66B0">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F66B0">
      <w:rPr>
        <w:rStyle w:val="PageNumber"/>
        <w:noProof/>
      </w:rPr>
      <w:t>2</w:t>
    </w:r>
    <w:r>
      <w:rPr>
        <w:rStyle w:val="PageNumber"/>
      </w:rPr>
      <w:fldChar w:fldCharType="end"/>
    </w:r>
  </w:p>
  <w:p w:rsidR="00B136DF" w:rsidRDefault="00B136DF" w:rsidP="00CD3AC2">
    <w:pPr>
      <w:pStyle w:val="NormalWeb"/>
      <w:jc w:val="center"/>
      <w:rPr>
        <w:rFonts w:ascii="Arial" w:hAnsi="Arial" w:cs="Arial"/>
        <w:color w:val="006666"/>
        <w:sz w:val="20"/>
        <w:szCs w:val="20"/>
      </w:rPr>
    </w:pPr>
    <w:hyperlink r:id="rId1" w:tooltip="http://www.doa.virginia.gov/Payroll/Payroll_Bulletins/Payroll_Bulletins_Main.cfm" w:history="1">
      <w:r>
        <w:rPr>
          <w:rStyle w:val="Hyperlink"/>
          <w:i/>
          <w:iCs/>
          <w:snapToGrid w:val="0"/>
          <w:sz w:val="22"/>
          <w:szCs w:val="20"/>
        </w:rPr>
        <w:t>http://www.doa.virginia.gov/Payroll/Payroll_Bulletins/Payroll_Bulletins_Main.cfm</w:t>
      </w:r>
    </w:hyperlink>
  </w:p>
  <w:p w:rsidR="00B136DF" w:rsidRPr="009F7AFD" w:rsidRDefault="00B136DF" w:rsidP="00CD3AC2">
    <w:pPr>
      <w:pStyle w:val="Footer"/>
      <w:pBdr>
        <w:top w:val="single" w:sz="6" w:space="0" w:color="auto"/>
      </w:pBdr>
      <w:tabs>
        <w:tab w:val="clear" w:pos="4320"/>
        <w:tab w:val="clear" w:pos="8640"/>
        <w:tab w:val="left" w:pos="5940"/>
      </w:tabs>
      <w:ind w:right="-414"/>
      <w:jc w:val="center"/>
      <w:rPr>
        <w:snapToGrid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952" w:rsidRDefault="00074952">
      <w:r>
        <w:separator/>
      </w:r>
    </w:p>
  </w:footnote>
  <w:footnote w:type="continuationSeparator" w:id="0">
    <w:p w:rsidR="00074952" w:rsidRDefault="000749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6DF" w:rsidRDefault="00B136DF" w:rsidP="00B97E16"/>
  <w:tbl>
    <w:tblPr>
      <w:tblW w:w="10188" w:type="dxa"/>
      <w:tblLayout w:type="fixed"/>
      <w:tblLook w:val="0000"/>
    </w:tblPr>
    <w:tblGrid>
      <w:gridCol w:w="3366"/>
      <w:gridCol w:w="3366"/>
      <w:gridCol w:w="3456"/>
    </w:tblGrid>
    <w:tr w:rsidR="00B136DF" w:rsidTr="00457EE5">
      <w:tblPrEx>
        <w:tblCellMar>
          <w:top w:w="0" w:type="dxa"/>
          <w:bottom w:w="0" w:type="dxa"/>
        </w:tblCellMar>
      </w:tblPrEx>
      <w:trPr>
        <w:cantSplit/>
      </w:trPr>
      <w:tc>
        <w:tcPr>
          <w:tcW w:w="3366" w:type="dxa"/>
          <w:tcBorders>
            <w:bottom w:val="double" w:sz="6" w:space="0" w:color="auto"/>
          </w:tcBorders>
        </w:tcPr>
        <w:p w:rsidR="00B136DF" w:rsidRDefault="00B136DF" w:rsidP="006B618E">
          <w:pPr>
            <w:pStyle w:val="Header"/>
            <w:rPr>
              <w:b/>
              <w:sz w:val="20"/>
            </w:rPr>
          </w:pPr>
          <w:r>
            <w:rPr>
              <w:b/>
              <w:sz w:val="20"/>
            </w:rPr>
            <w:t>Calendar Year 2016</w:t>
          </w:r>
        </w:p>
      </w:tc>
      <w:tc>
        <w:tcPr>
          <w:tcW w:w="3366" w:type="dxa"/>
          <w:tcBorders>
            <w:bottom w:val="double" w:sz="6" w:space="0" w:color="auto"/>
          </w:tcBorders>
        </w:tcPr>
        <w:p w:rsidR="00B136DF" w:rsidRDefault="00B136DF" w:rsidP="004A70E4">
          <w:pPr>
            <w:pStyle w:val="Header"/>
            <w:jc w:val="center"/>
            <w:rPr>
              <w:b/>
              <w:sz w:val="20"/>
            </w:rPr>
          </w:pPr>
          <w:r>
            <w:rPr>
              <w:b/>
              <w:sz w:val="20"/>
            </w:rPr>
            <w:t xml:space="preserve">March </w:t>
          </w:r>
          <w:r w:rsidR="004A70E4">
            <w:rPr>
              <w:b/>
              <w:sz w:val="20"/>
            </w:rPr>
            <w:t>14</w:t>
          </w:r>
          <w:r>
            <w:rPr>
              <w:b/>
              <w:sz w:val="20"/>
            </w:rPr>
            <w:t>, 201</w:t>
          </w:r>
          <w:r w:rsidR="004A70E4">
            <w:rPr>
              <w:b/>
              <w:sz w:val="20"/>
            </w:rPr>
            <w:t>6</w:t>
          </w:r>
        </w:p>
      </w:tc>
      <w:tc>
        <w:tcPr>
          <w:tcW w:w="3456" w:type="dxa"/>
          <w:tcBorders>
            <w:bottom w:val="double" w:sz="6" w:space="0" w:color="auto"/>
          </w:tcBorders>
        </w:tcPr>
        <w:p w:rsidR="00B136DF" w:rsidRDefault="00B136DF" w:rsidP="004A70E4">
          <w:pPr>
            <w:pStyle w:val="Header"/>
            <w:jc w:val="right"/>
            <w:rPr>
              <w:b/>
              <w:sz w:val="20"/>
            </w:rPr>
          </w:pPr>
          <w:r>
            <w:rPr>
              <w:b/>
              <w:sz w:val="20"/>
            </w:rPr>
            <w:t>Volume 2016-</w:t>
          </w:r>
          <w:r w:rsidR="004A70E4">
            <w:rPr>
              <w:b/>
              <w:sz w:val="20"/>
            </w:rPr>
            <w:t>02</w:t>
          </w:r>
        </w:p>
      </w:tc>
    </w:tr>
  </w:tbl>
  <w:p w:rsidR="00B136DF" w:rsidRDefault="00B136DF" w:rsidP="00B97E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322CE"/>
    <w:multiLevelType w:val="hybridMultilevel"/>
    <w:tmpl w:val="EE92D78A"/>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nsid w:val="7EE851DA"/>
    <w:multiLevelType w:val="singleLevel"/>
    <w:tmpl w:val="C91A883A"/>
    <w:lvl w:ilvl="0">
      <w:start w:val="1"/>
      <w:numFmt w:val="decimal"/>
      <w:lvlText w:val="%1."/>
      <w:legacy w:legacy="1" w:legacySpace="0" w:legacyIndent="360"/>
      <w:lvlJc w:val="left"/>
      <w:pPr>
        <w:ind w:left="540" w:hanging="360"/>
      </w:p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attachedTemplate r:id="rId1"/>
  <w:stylePaneFormatFilter w:val="3F01"/>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0C78"/>
    <w:rsid w:val="00001EE2"/>
    <w:rsid w:val="0000308D"/>
    <w:rsid w:val="000134A3"/>
    <w:rsid w:val="000229A0"/>
    <w:rsid w:val="000248B8"/>
    <w:rsid w:val="00031810"/>
    <w:rsid w:val="00045E51"/>
    <w:rsid w:val="00051F41"/>
    <w:rsid w:val="00053D2A"/>
    <w:rsid w:val="00074952"/>
    <w:rsid w:val="00082B31"/>
    <w:rsid w:val="00090054"/>
    <w:rsid w:val="000A3E0D"/>
    <w:rsid w:val="000B4932"/>
    <w:rsid w:val="000D0C78"/>
    <w:rsid w:val="000E4259"/>
    <w:rsid w:val="000F6DE8"/>
    <w:rsid w:val="00107440"/>
    <w:rsid w:val="00111132"/>
    <w:rsid w:val="00123B03"/>
    <w:rsid w:val="001434D8"/>
    <w:rsid w:val="001466D1"/>
    <w:rsid w:val="00166819"/>
    <w:rsid w:val="0017285D"/>
    <w:rsid w:val="00176083"/>
    <w:rsid w:val="00176AD2"/>
    <w:rsid w:val="00177EA1"/>
    <w:rsid w:val="001912A9"/>
    <w:rsid w:val="0019385E"/>
    <w:rsid w:val="001952D4"/>
    <w:rsid w:val="001A2715"/>
    <w:rsid w:val="001A3EA1"/>
    <w:rsid w:val="001B21AB"/>
    <w:rsid w:val="001B31CA"/>
    <w:rsid w:val="001C3B20"/>
    <w:rsid w:val="001C416E"/>
    <w:rsid w:val="001C6B3E"/>
    <w:rsid w:val="001E07BF"/>
    <w:rsid w:val="001E47DD"/>
    <w:rsid w:val="001E5C91"/>
    <w:rsid w:val="001E676B"/>
    <w:rsid w:val="001F28FA"/>
    <w:rsid w:val="001F423F"/>
    <w:rsid w:val="0021385E"/>
    <w:rsid w:val="002244EF"/>
    <w:rsid w:val="00224F21"/>
    <w:rsid w:val="00225F15"/>
    <w:rsid w:val="00246724"/>
    <w:rsid w:val="00251987"/>
    <w:rsid w:val="00254C18"/>
    <w:rsid w:val="00282FE5"/>
    <w:rsid w:val="002875BF"/>
    <w:rsid w:val="00292042"/>
    <w:rsid w:val="002A149C"/>
    <w:rsid w:val="002B46AD"/>
    <w:rsid w:val="002B69A0"/>
    <w:rsid w:val="002B7654"/>
    <w:rsid w:val="002C02CC"/>
    <w:rsid w:val="002C1D7B"/>
    <w:rsid w:val="002D161B"/>
    <w:rsid w:val="002D27FC"/>
    <w:rsid w:val="002D399D"/>
    <w:rsid w:val="002E31ED"/>
    <w:rsid w:val="002F385B"/>
    <w:rsid w:val="002F7B7E"/>
    <w:rsid w:val="00312378"/>
    <w:rsid w:val="00315DB1"/>
    <w:rsid w:val="00324E82"/>
    <w:rsid w:val="00340826"/>
    <w:rsid w:val="00351CE2"/>
    <w:rsid w:val="00355280"/>
    <w:rsid w:val="003667F5"/>
    <w:rsid w:val="00374067"/>
    <w:rsid w:val="00385A63"/>
    <w:rsid w:val="00387A2A"/>
    <w:rsid w:val="00390FC5"/>
    <w:rsid w:val="003979FE"/>
    <w:rsid w:val="003A1D48"/>
    <w:rsid w:val="003A5436"/>
    <w:rsid w:val="003B09C4"/>
    <w:rsid w:val="003B1670"/>
    <w:rsid w:val="003D56A6"/>
    <w:rsid w:val="003E008A"/>
    <w:rsid w:val="003E0493"/>
    <w:rsid w:val="003E202C"/>
    <w:rsid w:val="003F66B0"/>
    <w:rsid w:val="00404F89"/>
    <w:rsid w:val="00406F86"/>
    <w:rsid w:val="00415425"/>
    <w:rsid w:val="00430920"/>
    <w:rsid w:val="0044520A"/>
    <w:rsid w:val="004520E7"/>
    <w:rsid w:val="00457EE5"/>
    <w:rsid w:val="00466E69"/>
    <w:rsid w:val="0047681B"/>
    <w:rsid w:val="004836BB"/>
    <w:rsid w:val="00486725"/>
    <w:rsid w:val="004A70E4"/>
    <w:rsid w:val="004A715D"/>
    <w:rsid w:val="004D774C"/>
    <w:rsid w:val="004E7B9F"/>
    <w:rsid w:val="004F162A"/>
    <w:rsid w:val="004F41D9"/>
    <w:rsid w:val="0050233B"/>
    <w:rsid w:val="00505A5C"/>
    <w:rsid w:val="00545EED"/>
    <w:rsid w:val="0056085F"/>
    <w:rsid w:val="00562AD7"/>
    <w:rsid w:val="00564691"/>
    <w:rsid w:val="00565BF7"/>
    <w:rsid w:val="005668A2"/>
    <w:rsid w:val="0057239D"/>
    <w:rsid w:val="00575ECA"/>
    <w:rsid w:val="00580CFE"/>
    <w:rsid w:val="005C1612"/>
    <w:rsid w:val="005C2403"/>
    <w:rsid w:val="005D6F7B"/>
    <w:rsid w:val="005F1589"/>
    <w:rsid w:val="005F27CC"/>
    <w:rsid w:val="005F4969"/>
    <w:rsid w:val="006053B8"/>
    <w:rsid w:val="00612422"/>
    <w:rsid w:val="00624F5A"/>
    <w:rsid w:val="00640BB1"/>
    <w:rsid w:val="00654A74"/>
    <w:rsid w:val="00654A9F"/>
    <w:rsid w:val="00674030"/>
    <w:rsid w:val="0068029E"/>
    <w:rsid w:val="0068152E"/>
    <w:rsid w:val="00686D94"/>
    <w:rsid w:val="0069030B"/>
    <w:rsid w:val="006B03F2"/>
    <w:rsid w:val="006B1547"/>
    <w:rsid w:val="006B24C0"/>
    <w:rsid w:val="006B618E"/>
    <w:rsid w:val="006B7109"/>
    <w:rsid w:val="006C784B"/>
    <w:rsid w:val="006D39A3"/>
    <w:rsid w:val="006D7357"/>
    <w:rsid w:val="00717F70"/>
    <w:rsid w:val="00747E3C"/>
    <w:rsid w:val="00757BFB"/>
    <w:rsid w:val="007667FA"/>
    <w:rsid w:val="007700AC"/>
    <w:rsid w:val="007750D1"/>
    <w:rsid w:val="0078110A"/>
    <w:rsid w:val="0079072D"/>
    <w:rsid w:val="007A4B30"/>
    <w:rsid w:val="007C28D4"/>
    <w:rsid w:val="007D0028"/>
    <w:rsid w:val="007F51A7"/>
    <w:rsid w:val="00801B20"/>
    <w:rsid w:val="00805277"/>
    <w:rsid w:val="00836D7F"/>
    <w:rsid w:val="00863351"/>
    <w:rsid w:val="00872A79"/>
    <w:rsid w:val="008948EA"/>
    <w:rsid w:val="0089615E"/>
    <w:rsid w:val="008A2DD0"/>
    <w:rsid w:val="008C29E8"/>
    <w:rsid w:val="008D4AF2"/>
    <w:rsid w:val="009219E7"/>
    <w:rsid w:val="00924138"/>
    <w:rsid w:val="00930697"/>
    <w:rsid w:val="00946516"/>
    <w:rsid w:val="00946E65"/>
    <w:rsid w:val="009601E3"/>
    <w:rsid w:val="0096689D"/>
    <w:rsid w:val="00974C38"/>
    <w:rsid w:val="00976C71"/>
    <w:rsid w:val="00993D45"/>
    <w:rsid w:val="00993D57"/>
    <w:rsid w:val="009B1406"/>
    <w:rsid w:val="009D3989"/>
    <w:rsid w:val="009D5435"/>
    <w:rsid w:val="009D7831"/>
    <w:rsid w:val="009E088A"/>
    <w:rsid w:val="009E564C"/>
    <w:rsid w:val="009E6D2D"/>
    <w:rsid w:val="009E7D09"/>
    <w:rsid w:val="009F6827"/>
    <w:rsid w:val="009F750F"/>
    <w:rsid w:val="009F766D"/>
    <w:rsid w:val="009F7AFD"/>
    <w:rsid w:val="009F7CC0"/>
    <w:rsid w:val="00A16CA0"/>
    <w:rsid w:val="00A263A1"/>
    <w:rsid w:val="00A317F9"/>
    <w:rsid w:val="00A43F6D"/>
    <w:rsid w:val="00A4564F"/>
    <w:rsid w:val="00A652B4"/>
    <w:rsid w:val="00A67421"/>
    <w:rsid w:val="00A72FF9"/>
    <w:rsid w:val="00A80AA5"/>
    <w:rsid w:val="00A850F9"/>
    <w:rsid w:val="00AD04D6"/>
    <w:rsid w:val="00AD4C12"/>
    <w:rsid w:val="00AE0F14"/>
    <w:rsid w:val="00B00010"/>
    <w:rsid w:val="00B001A0"/>
    <w:rsid w:val="00B016C2"/>
    <w:rsid w:val="00B03090"/>
    <w:rsid w:val="00B11532"/>
    <w:rsid w:val="00B136DF"/>
    <w:rsid w:val="00B14904"/>
    <w:rsid w:val="00B17AF8"/>
    <w:rsid w:val="00B20211"/>
    <w:rsid w:val="00B339F6"/>
    <w:rsid w:val="00B40828"/>
    <w:rsid w:val="00B40842"/>
    <w:rsid w:val="00B54594"/>
    <w:rsid w:val="00B622C3"/>
    <w:rsid w:val="00B77999"/>
    <w:rsid w:val="00B87D23"/>
    <w:rsid w:val="00B900DE"/>
    <w:rsid w:val="00B92EAE"/>
    <w:rsid w:val="00B97E16"/>
    <w:rsid w:val="00BA56B9"/>
    <w:rsid w:val="00BA6BD8"/>
    <w:rsid w:val="00BC16C7"/>
    <w:rsid w:val="00BC5E04"/>
    <w:rsid w:val="00BD43E3"/>
    <w:rsid w:val="00C033C7"/>
    <w:rsid w:val="00C07D38"/>
    <w:rsid w:val="00C120F3"/>
    <w:rsid w:val="00C138AD"/>
    <w:rsid w:val="00C30F8D"/>
    <w:rsid w:val="00C3769E"/>
    <w:rsid w:val="00C50FDD"/>
    <w:rsid w:val="00C90D0F"/>
    <w:rsid w:val="00C91E35"/>
    <w:rsid w:val="00CA60F6"/>
    <w:rsid w:val="00CB6BD9"/>
    <w:rsid w:val="00CC05AC"/>
    <w:rsid w:val="00CC26E6"/>
    <w:rsid w:val="00CC79DD"/>
    <w:rsid w:val="00CD3AC2"/>
    <w:rsid w:val="00CE5E54"/>
    <w:rsid w:val="00CF4033"/>
    <w:rsid w:val="00CF5444"/>
    <w:rsid w:val="00CF740F"/>
    <w:rsid w:val="00D1529F"/>
    <w:rsid w:val="00D222BD"/>
    <w:rsid w:val="00D40EFC"/>
    <w:rsid w:val="00D44A6C"/>
    <w:rsid w:val="00D65654"/>
    <w:rsid w:val="00D91CF8"/>
    <w:rsid w:val="00D925A8"/>
    <w:rsid w:val="00D96E2A"/>
    <w:rsid w:val="00D97801"/>
    <w:rsid w:val="00DB0B3E"/>
    <w:rsid w:val="00DC4EBA"/>
    <w:rsid w:val="00DD1147"/>
    <w:rsid w:val="00DE4CEE"/>
    <w:rsid w:val="00E02CD9"/>
    <w:rsid w:val="00E04427"/>
    <w:rsid w:val="00E11CBF"/>
    <w:rsid w:val="00E16562"/>
    <w:rsid w:val="00E2451F"/>
    <w:rsid w:val="00E30565"/>
    <w:rsid w:val="00E834E5"/>
    <w:rsid w:val="00E97CB7"/>
    <w:rsid w:val="00EA6F19"/>
    <w:rsid w:val="00EB6181"/>
    <w:rsid w:val="00EB6D2F"/>
    <w:rsid w:val="00ED247F"/>
    <w:rsid w:val="00EE2DCF"/>
    <w:rsid w:val="00EE48EE"/>
    <w:rsid w:val="00EF26A6"/>
    <w:rsid w:val="00F04298"/>
    <w:rsid w:val="00F04E94"/>
    <w:rsid w:val="00F20AC6"/>
    <w:rsid w:val="00F22B94"/>
    <w:rsid w:val="00F2394F"/>
    <w:rsid w:val="00F3320E"/>
    <w:rsid w:val="00F342E2"/>
    <w:rsid w:val="00F34A52"/>
    <w:rsid w:val="00F412C0"/>
    <w:rsid w:val="00F43DB3"/>
    <w:rsid w:val="00F44D1A"/>
    <w:rsid w:val="00F45A7B"/>
    <w:rsid w:val="00F64A4D"/>
    <w:rsid w:val="00F9185B"/>
    <w:rsid w:val="00F92BE9"/>
    <w:rsid w:val="00F94FAF"/>
    <w:rsid w:val="00FA4CF0"/>
    <w:rsid w:val="00FA65B1"/>
    <w:rsid w:val="00FA7A22"/>
    <w:rsid w:val="00FB4EFD"/>
    <w:rsid w:val="00FC2129"/>
    <w:rsid w:val="00FD1318"/>
    <w:rsid w:val="00FD2839"/>
    <w:rsid w:val="00FE69F7"/>
    <w:rsid w:val="00FE76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Part"/>
    <w:basedOn w:val="Normal"/>
    <w:next w:val="Heading2"/>
    <w:qFormat/>
    <w:pPr>
      <w:spacing w:after="240"/>
      <w:jc w:val="center"/>
      <w:outlineLvl w:val="0"/>
    </w:pPr>
    <w:rPr>
      <w:rFonts w:ascii="Arial" w:hAnsi="Arial"/>
      <w:b/>
      <w:sz w:val="32"/>
    </w:rPr>
  </w:style>
  <w:style w:type="paragraph" w:styleId="Heading2">
    <w:name w:val="heading 2"/>
    <w:aliases w:val="Chapter Title"/>
    <w:basedOn w:val="Normal"/>
    <w:next w:val="Heading4"/>
    <w:qFormat/>
    <w:pPr>
      <w:spacing w:after="240"/>
      <w:jc w:val="center"/>
      <w:outlineLvl w:val="1"/>
    </w:pPr>
    <w:rPr>
      <w:rFonts w:ascii="Arial" w:hAnsi="Arial"/>
      <w:b/>
      <w:sz w:val="32"/>
    </w:rPr>
  </w:style>
  <w:style w:type="paragraph" w:styleId="Heading3">
    <w:name w:val="heading 3"/>
    <w:aliases w:val="Section"/>
    <w:basedOn w:val="Normal"/>
    <w:next w:val="Heading4"/>
    <w:qFormat/>
    <w:pPr>
      <w:spacing w:after="240"/>
      <w:jc w:val="center"/>
      <w:outlineLvl w:val="2"/>
    </w:pPr>
    <w:rPr>
      <w:rFonts w:ascii="Arial" w:hAnsi="Arial"/>
      <w:b/>
      <w:sz w:val="32"/>
    </w:rPr>
  </w:style>
  <w:style w:type="paragraph" w:styleId="Heading4">
    <w:name w:val="heading 4"/>
    <w:aliases w:val="Map Title"/>
    <w:basedOn w:val="Normal"/>
    <w:next w:val="Normal"/>
    <w:qFormat/>
    <w:pPr>
      <w:spacing w:after="240"/>
      <w:outlineLvl w:val="3"/>
    </w:pPr>
    <w:rPr>
      <w:rFonts w:ascii="Arial" w:hAnsi="Arial"/>
    </w:rPr>
  </w:style>
  <w:style w:type="paragraph" w:styleId="Heading5">
    <w:name w:val="heading 5"/>
    <w:aliases w:val="Block Label"/>
    <w:basedOn w:val="Normal"/>
    <w:next w:val="Normal"/>
    <w:qFormat/>
    <w:pPr>
      <w:outlineLvl w:val="4"/>
    </w:pPr>
    <w:rPr>
      <w:b/>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pPr>
      <w:pBdr>
        <w:top w:val="single" w:sz="6" w:space="1" w:color="auto"/>
        <w:between w:val="single" w:sz="6" w:space="1" w:color="auto"/>
      </w:pBdr>
      <w:spacing w:before="240"/>
      <w:ind w:left="1700"/>
    </w:pPr>
  </w:style>
  <w:style w:type="paragraph" w:styleId="BlockText">
    <w:name w:val="Block Text"/>
    <w:basedOn w:val="Normal"/>
  </w:style>
  <w:style w:type="paragraph" w:customStyle="1" w:styleId="BulletText1">
    <w:name w:val="Bullet Text 1"/>
    <w:basedOn w:val="Normal"/>
    <w:pPr>
      <w:ind w:left="187" w:hanging="187"/>
    </w:pPr>
  </w:style>
  <w:style w:type="paragraph" w:customStyle="1" w:styleId="BulletText2">
    <w:name w:val="Bullet Text 2"/>
    <w:basedOn w:val="BulletText1"/>
    <w:pPr>
      <w:ind w:left="360"/>
    </w:pPr>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customStyle="1" w:styleId="ContinuedTableLabe">
    <w:name w:val="Continued Table Labe"/>
    <w:basedOn w:val="Heading4"/>
    <w:rsid w:val="0069030B"/>
    <w:rPr>
      <w:b/>
      <w:sz w:val="32"/>
    </w:rPr>
  </w:style>
  <w:style w:type="paragraph" w:customStyle="1" w:styleId="MapTitleContinued">
    <w:name w:val="Map Title. Continued"/>
    <w:basedOn w:val="Normal"/>
    <w:pPr>
      <w:spacing w:after="240"/>
    </w:pPr>
    <w:rPr>
      <w:rFonts w:ascii="Helvetica" w:hAnsi="Helvetica"/>
      <w:b/>
      <w:sz w:val="32"/>
    </w:rPr>
  </w:style>
  <w:style w:type="paragraph" w:customStyle="1" w:styleId="MemoLine">
    <w:name w:val="Memo Line"/>
    <w:basedOn w:val="BlockLine"/>
    <w:next w:val="Normal"/>
    <w:pPr>
      <w:ind w:left="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bleText">
    <w:name w:val="Table Text"/>
    <w:basedOn w:val="Normal"/>
  </w:style>
  <w:style w:type="paragraph" w:customStyle="1" w:styleId="NoteText">
    <w:name w:val="Note Text"/>
    <w:basedOn w:val="BlockText"/>
  </w:style>
  <w:style w:type="paragraph" w:customStyle="1" w:styleId="TableHeaderText">
    <w:name w:val="Table Header Text"/>
    <w:basedOn w:val="TableText"/>
    <w:pPr>
      <w:jc w:val="center"/>
    </w:pPr>
    <w:rPr>
      <w:b/>
    </w:rPr>
  </w:style>
  <w:style w:type="paragraph" w:customStyle="1" w:styleId="EmbeddedText">
    <w:name w:val="Embedded Text"/>
    <w:basedOn w:val="TableText"/>
  </w:style>
  <w:style w:type="paragraph" w:styleId="TOC1">
    <w:name w:val="toc 1"/>
    <w:basedOn w:val="Normal"/>
    <w:next w:val="Normal"/>
    <w:semiHidden/>
    <w:pPr>
      <w:tabs>
        <w:tab w:val="right" w:leader="dot" w:pos="10800"/>
      </w:tabs>
    </w:pPr>
  </w:style>
  <w:style w:type="paragraph" w:styleId="TOC2">
    <w:name w:val="toc 2"/>
    <w:basedOn w:val="Normal"/>
    <w:next w:val="Normal"/>
    <w:semiHidden/>
    <w:pPr>
      <w:tabs>
        <w:tab w:val="right" w:leader="dot" w:pos="10800"/>
      </w:tabs>
      <w:ind w:left="240"/>
    </w:pPr>
  </w:style>
  <w:style w:type="paragraph" w:styleId="BodyText3">
    <w:name w:val="Body Text 3"/>
    <w:basedOn w:val="Normal"/>
    <w:rPr>
      <w:b/>
      <w:sz w:val="18"/>
    </w:rPr>
  </w:style>
  <w:style w:type="paragraph" w:styleId="BodyText2">
    <w:name w:val="Body Text 2"/>
    <w:basedOn w:val="Normal"/>
    <w:rPr>
      <w:b/>
      <w:sz w:val="16"/>
    </w:rPr>
  </w:style>
  <w:style w:type="paragraph" w:styleId="Title">
    <w:name w:val="Title"/>
    <w:basedOn w:val="Normal"/>
    <w:qFormat/>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rPr>
      <w:color w:val="0000FF"/>
      <w:u w:val="single"/>
    </w:rPr>
  </w:style>
  <w:style w:type="paragraph" w:customStyle="1" w:styleId="Extmemo">
    <w:name w:val="Extmemo"/>
    <w:basedOn w:val="Normal"/>
    <w:pPr>
      <w:spacing w:line="240" w:lineRule="exact"/>
    </w:pPr>
    <w:rPr>
      <w:rFonts w:ascii="Times" w:hAnsi="Times"/>
    </w:rPr>
  </w:style>
  <w:style w:type="paragraph" w:styleId="PlainText">
    <w:name w:val="Plain Text"/>
    <w:basedOn w:val="Normal"/>
    <w:rPr>
      <w:rFonts w:ascii="Courier New" w:hAnsi="Courier New"/>
      <w:sz w:val="20"/>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A652B4"/>
    <w:rPr>
      <w:rFonts w:ascii="Tahoma" w:hAnsi="Tahoma" w:cs="Tahoma"/>
      <w:sz w:val="16"/>
      <w:szCs w:val="16"/>
    </w:rPr>
  </w:style>
  <w:style w:type="table" w:styleId="TableGrid">
    <w:name w:val="Table Grid"/>
    <w:basedOn w:val="TableNormal"/>
    <w:rsid w:val="00560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D3AC2"/>
    <w:pPr>
      <w:spacing w:before="100" w:beforeAutospacing="1" w:after="100" w:afterAutospacing="1"/>
    </w:pPr>
    <w:rPr>
      <w:szCs w:val="24"/>
    </w:rPr>
  </w:style>
  <w:style w:type="character" w:styleId="Emphasis">
    <w:name w:val="Emphasis"/>
    <w:qFormat/>
    <w:rsid w:val="00CD3AC2"/>
    <w:rPr>
      <w:i/>
      <w:iCs/>
    </w:rPr>
  </w:style>
  <w:style w:type="paragraph" w:styleId="NoSpacing">
    <w:name w:val="No Spacing"/>
    <w:basedOn w:val="Normal"/>
    <w:uiPriority w:val="1"/>
    <w:qFormat/>
    <w:rsid w:val="002B69A0"/>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44666090">
      <w:bodyDiv w:val="1"/>
      <w:marLeft w:val="0"/>
      <w:marRight w:val="0"/>
      <w:marTop w:val="0"/>
      <w:marBottom w:val="0"/>
      <w:divBdr>
        <w:top w:val="none" w:sz="0" w:space="0" w:color="auto"/>
        <w:left w:val="none" w:sz="0" w:space="0" w:color="auto"/>
        <w:bottom w:val="none" w:sz="0" w:space="0" w:color="auto"/>
        <w:right w:val="none" w:sz="0" w:space="0" w:color="auto"/>
      </w:divBdr>
    </w:div>
    <w:div w:id="1275868786">
      <w:bodyDiv w:val="1"/>
      <w:marLeft w:val="750"/>
      <w:marRight w:val="0"/>
      <w:marTop w:val="300"/>
      <w:marBottom w:val="0"/>
      <w:divBdr>
        <w:top w:val="none" w:sz="0" w:space="0" w:color="auto"/>
        <w:left w:val="none" w:sz="0" w:space="0" w:color="auto"/>
        <w:bottom w:val="none" w:sz="0" w:space="0" w:color="auto"/>
        <w:right w:val="none" w:sz="0" w:space="0" w:color="auto"/>
      </w:divBdr>
    </w:div>
    <w:div w:id="205665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y.mcgill@doa.virginia.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lthRecons@doa.virgini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rdinalproject.virginia.gov/Statewide%20Training/Simulations/GL332Simulation/toc0.html" TargetMode="External"/><Relationship Id="rId4" Type="http://schemas.openxmlformats.org/officeDocument/2006/relationships/settings" Target="settings.xml"/><Relationship Id="rId9" Type="http://schemas.openxmlformats.org/officeDocument/2006/relationships/hyperlink" Target="http://www.cardinalproject.virginia.gov/Statewide%20Forms.s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oa.virginia.gov/Payroll/Payroll_Bulletins/Payroll_Bulletins_Main.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BA70C-9846-464A-91CD-4E355584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INFOMAP.DOT</Template>
  <TotalTime>0</TotalTime>
  <Pages>2</Pages>
  <Words>577</Words>
  <Characters>3557</Characters>
  <Application>Microsoft Office Word</Application>
  <DocSecurity>0</DocSecurity>
  <Lines>889</Lines>
  <Paragraphs>196</Paragraphs>
  <ScaleCrop>false</ScaleCrop>
  <HeadingPairs>
    <vt:vector size="2" baseType="variant">
      <vt:variant>
        <vt:lpstr>Title</vt:lpstr>
      </vt:variant>
      <vt:variant>
        <vt:i4>1</vt:i4>
      </vt:variant>
    </vt:vector>
  </HeadingPairs>
  <TitlesOfParts>
    <vt:vector size="1" baseType="lpstr">
      <vt:lpstr>Payroll Bulletin</vt:lpstr>
    </vt:vector>
  </TitlesOfParts>
  <Company>Virginia Department of Accounts</Company>
  <LinksUpToDate>false</LinksUpToDate>
  <CharactersWithSpaces>3938</CharactersWithSpaces>
  <SharedDoc>false</SharedDoc>
  <HLinks>
    <vt:vector size="30" baseType="variant">
      <vt:variant>
        <vt:i4>7405586</vt:i4>
      </vt:variant>
      <vt:variant>
        <vt:i4>9</vt:i4>
      </vt:variant>
      <vt:variant>
        <vt:i4>0</vt:i4>
      </vt:variant>
      <vt:variant>
        <vt:i4>5</vt:i4>
      </vt:variant>
      <vt:variant>
        <vt:lpwstr>mailto:HealthRecons@doa.virginia.gov</vt:lpwstr>
      </vt:variant>
      <vt:variant>
        <vt:lpwstr/>
      </vt:variant>
      <vt:variant>
        <vt:i4>5701701</vt:i4>
      </vt:variant>
      <vt:variant>
        <vt:i4>6</vt:i4>
      </vt:variant>
      <vt:variant>
        <vt:i4>0</vt:i4>
      </vt:variant>
      <vt:variant>
        <vt:i4>5</vt:i4>
      </vt:variant>
      <vt:variant>
        <vt:lpwstr>http://www.cardinalproject.virginia.gov/Statewide Training/Simulations/GL332Simulation/toc0.html</vt:lpwstr>
      </vt:variant>
      <vt:variant>
        <vt:lpwstr/>
      </vt:variant>
      <vt:variant>
        <vt:i4>4980745</vt:i4>
      </vt:variant>
      <vt:variant>
        <vt:i4>3</vt:i4>
      </vt:variant>
      <vt:variant>
        <vt:i4>0</vt:i4>
      </vt:variant>
      <vt:variant>
        <vt:i4>5</vt:i4>
      </vt:variant>
      <vt:variant>
        <vt:lpwstr>http://www.cardinalproject.virginia.gov/Statewide Forms.shtml</vt:lpwstr>
      </vt:variant>
      <vt:variant>
        <vt:lpwstr/>
      </vt: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 2016-02</dc:title>
  <dc:subject>Payroll Bulletin 2016-02</dc:subject>
  <dc:creator>Virginia Department of Accounts</dc:creator>
  <cp:keywords>Payroll Bulletin 2016-02</cp:keywords>
  <dc:description>Payroll Bulletin 2016-02</dc:description>
  <cp:lastModifiedBy>sww59895</cp:lastModifiedBy>
  <cp:revision>2</cp:revision>
  <cp:lastPrinted>2015-08-27T18:46:00Z</cp:lastPrinted>
  <dcterms:created xsi:type="dcterms:W3CDTF">2016-03-15T18:32:00Z</dcterms:created>
  <dcterms:modified xsi:type="dcterms:W3CDTF">2016-03-15T18:32:00Z</dcterms:modified>
  <cp:category>Payroll Bulletin 2016-02</cp:category>
</cp:coreProperties>
</file>