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firstRow="0" w:lastRow="0" w:firstColumn="0" w:lastColumn="0" w:noHBand="0" w:noVBand="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4F58ED">
            <w:pPr>
              <w:pStyle w:val="Header"/>
              <w:rPr>
                <w:b/>
                <w:sz w:val="20"/>
              </w:rPr>
            </w:pPr>
            <w:r>
              <w:rPr>
                <w:b/>
                <w:sz w:val="20"/>
              </w:rPr>
              <w:t xml:space="preserve">Calendar Year </w:t>
            </w:r>
            <w:r w:rsidR="00BC16C7">
              <w:rPr>
                <w:b/>
                <w:sz w:val="20"/>
              </w:rPr>
              <w:t>201</w:t>
            </w:r>
            <w:r w:rsidR="004F58ED">
              <w:rPr>
                <w:b/>
                <w:sz w:val="20"/>
              </w:rPr>
              <w:t>7</w:t>
            </w:r>
          </w:p>
        </w:tc>
        <w:tc>
          <w:tcPr>
            <w:tcW w:w="3366" w:type="dxa"/>
            <w:tcBorders>
              <w:bottom w:val="double" w:sz="6" w:space="0" w:color="auto"/>
            </w:tcBorders>
          </w:tcPr>
          <w:p w:rsidR="00B20211" w:rsidRDefault="00CC4CA9" w:rsidP="00844CE2">
            <w:pPr>
              <w:pStyle w:val="Header"/>
              <w:jc w:val="center"/>
              <w:rPr>
                <w:b/>
                <w:sz w:val="20"/>
              </w:rPr>
            </w:pPr>
            <w:r>
              <w:rPr>
                <w:b/>
                <w:sz w:val="20"/>
              </w:rPr>
              <w:t>May 2</w:t>
            </w:r>
            <w:r w:rsidR="00844CE2">
              <w:rPr>
                <w:b/>
                <w:sz w:val="20"/>
              </w:rPr>
              <w:t>6</w:t>
            </w:r>
            <w:r>
              <w:rPr>
                <w:b/>
                <w:sz w:val="20"/>
              </w:rPr>
              <w:t>, 2017</w:t>
            </w:r>
          </w:p>
        </w:tc>
        <w:tc>
          <w:tcPr>
            <w:tcW w:w="3366" w:type="dxa"/>
            <w:tcBorders>
              <w:bottom w:val="double" w:sz="6" w:space="0" w:color="auto"/>
            </w:tcBorders>
          </w:tcPr>
          <w:p w:rsidR="00B20211" w:rsidRDefault="00B20211" w:rsidP="005209BB">
            <w:pPr>
              <w:pStyle w:val="Header"/>
              <w:jc w:val="right"/>
              <w:rPr>
                <w:b/>
                <w:sz w:val="20"/>
              </w:rPr>
            </w:pPr>
            <w:r>
              <w:rPr>
                <w:b/>
                <w:sz w:val="20"/>
              </w:rPr>
              <w:t xml:space="preserve">Volume </w:t>
            </w:r>
            <w:r w:rsidR="006B618E">
              <w:rPr>
                <w:b/>
                <w:sz w:val="20"/>
              </w:rPr>
              <w:t>201</w:t>
            </w:r>
            <w:r w:rsidR="004F58ED">
              <w:rPr>
                <w:b/>
                <w:sz w:val="20"/>
              </w:rPr>
              <w:t>7</w:t>
            </w:r>
            <w:r w:rsidR="00415425">
              <w:rPr>
                <w:b/>
                <w:sz w:val="20"/>
              </w:rPr>
              <w:t>-</w:t>
            </w:r>
            <w:r w:rsidR="004F58ED">
              <w:rPr>
                <w:b/>
                <w:sz w:val="20"/>
              </w:rPr>
              <w:t>0</w:t>
            </w:r>
            <w:r w:rsidR="005209BB">
              <w:rPr>
                <w:b/>
                <w:sz w:val="20"/>
              </w:rPr>
              <w:t>6</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firstRow="1" w:lastRow="1" w:firstColumn="1" w:lastColumn="1" w:noHBand="0" w:noVBand="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9E4C7E" w:rsidRDefault="00CC4CA9" w:rsidP="00936318">
            <w:pPr>
              <w:numPr>
                <w:ilvl w:val="0"/>
                <w:numId w:val="2"/>
              </w:numPr>
              <w:tabs>
                <w:tab w:val="left" w:pos="990"/>
              </w:tabs>
              <w:spacing w:before="60"/>
              <w:ind w:left="547"/>
              <w:rPr>
                <w:sz w:val="28"/>
                <w:szCs w:val="28"/>
              </w:rPr>
            </w:pPr>
            <w:r>
              <w:rPr>
                <w:sz w:val="28"/>
                <w:szCs w:val="28"/>
              </w:rPr>
              <w:t>New Process</w:t>
            </w:r>
            <w:r w:rsidR="00151B3E">
              <w:rPr>
                <w:sz w:val="28"/>
                <w:szCs w:val="28"/>
              </w:rPr>
              <w:t xml:space="preserve"> for </w:t>
            </w:r>
            <w:r w:rsidR="004E4099">
              <w:rPr>
                <w:sz w:val="28"/>
                <w:szCs w:val="28"/>
              </w:rPr>
              <w:t>Involuntary Deductions</w:t>
            </w:r>
          </w:p>
          <w:p w:rsidR="00744122" w:rsidRDefault="00433EB4" w:rsidP="00C3073A">
            <w:pPr>
              <w:tabs>
                <w:tab w:val="left" w:pos="990"/>
              </w:tabs>
              <w:spacing w:before="60"/>
              <w:ind w:left="547"/>
              <w:rPr>
                <w:sz w:val="22"/>
                <w:szCs w:val="22"/>
              </w:rPr>
            </w:pPr>
            <w:r w:rsidRPr="00A55FF7">
              <w:rPr>
                <w:sz w:val="22"/>
                <w:szCs w:val="22"/>
              </w:rPr>
              <w:t>*</w:t>
            </w:r>
            <w:r w:rsidR="00A55FF7">
              <w:rPr>
                <w:sz w:val="22"/>
                <w:szCs w:val="22"/>
              </w:rPr>
              <w:t xml:space="preserve">Part 1 - </w:t>
            </w:r>
            <w:r w:rsidR="00A55FF7" w:rsidRPr="00A55FF7">
              <w:rPr>
                <w:sz w:val="22"/>
                <w:szCs w:val="22"/>
              </w:rPr>
              <w:t>Payline Utility</w:t>
            </w:r>
          </w:p>
          <w:p w:rsidR="00A55FF7" w:rsidRDefault="00A55FF7" w:rsidP="00C3073A">
            <w:pPr>
              <w:tabs>
                <w:tab w:val="left" w:pos="990"/>
              </w:tabs>
              <w:spacing w:before="60"/>
              <w:ind w:left="547"/>
              <w:rPr>
                <w:sz w:val="22"/>
                <w:szCs w:val="22"/>
              </w:rPr>
            </w:pPr>
            <w:r>
              <w:rPr>
                <w:sz w:val="22"/>
                <w:szCs w:val="22"/>
              </w:rPr>
              <w:t>*Part 2 – H0ZDC Set Up</w:t>
            </w:r>
          </w:p>
          <w:p w:rsidR="00A55FF7" w:rsidRDefault="00A55FF7" w:rsidP="00C3073A">
            <w:pPr>
              <w:tabs>
                <w:tab w:val="left" w:pos="990"/>
              </w:tabs>
              <w:spacing w:before="60"/>
              <w:ind w:left="547"/>
              <w:rPr>
                <w:sz w:val="22"/>
                <w:szCs w:val="22"/>
              </w:rPr>
            </w:pPr>
            <w:r>
              <w:rPr>
                <w:sz w:val="22"/>
                <w:szCs w:val="22"/>
              </w:rPr>
              <w:t xml:space="preserve">     *Virginia Child Support</w:t>
            </w:r>
          </w:p>
          <w:p w:rsidR="00A55FF7" w:rsidRPr="00A55FF7" w:rsidRDefault="00A55FF7" w:rsidP="00C3073A">
            <w:pPr>
              <w:tabs>
                <w:tab w:val="left" w:pos="990"/>
              </w:tabs>
              <w:spacing w:before="60"/>
              <w:ind w:left="547"/>
              <w:rPr>
                <w:sz w:val="22"/>
                <w:szCs w:val="22"/>
              </w:rPr>
            </w:pPr>
            <w:r>
              <w:rPr>
                <w:sz w:val="22"/>
                <w:szCs w:val="22"/>
              </w:rPr>
              <w:t xml:space="preserve">     *Deceased Payments</w:t>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9D5A6D">
            <w:pPr>
              <w:tabs>
                <w:tab w:val="left" w:pos="990"/>
              </w:tabs>
              <w:spacing w:before="120"/>
              <w:rPr>
                <w:szCs w:val="24"/>
              </w:rPr>
            </w:pPr>
            <w:r w:rsidRPr="00612422">
              <w:rPr>
                <w:sz w:val="20"/>
              </w:rPr>
              <w:t>A</w:t>
            </w:r>
            <w:r w:rsidR="009D5A6D">
              <w:rPr>
                <w:sz w:val="20"/>
              </w:rPr>
              <w:t xml:space="preserve">cting </w:t>
            </w:r>
            <w:r w:rsidRPr="00612422">
              <w:rPr>
                <w:sz w:val="20"/>
              </w:rPr>
              <w:t xml:space="preserve">Director         </w:t>
            </w:r>
            <w:r w:rsidR="009D5A6D">
              <w:rPr>
                <w:sz w:val="20"/>
              </w:rPr>
              <w:t xml:space="preserve">    </w:t>
            </w:r>
            <w:r w:rsidRPr="00612422">
              <w:rPr>
                <w:sz w:val="20"/>
              </w:rPr>
              <w:t xml:space="preserve"> Cathy C. McGill</w:t>
            </w:r>
          </w:p>
        </w:tc>
      </w:tr>
    </w:tbl>
    <w:p w:rsidR="00B20211" w:rsidRPr="00C50FDD" w:rsidRDefault="00B20211" w:rsidP="00C50FDD">
      <w:pPr>
        <w:pStyle w:val="BlockLine"/>
        <w:spacing w:before="120"/>
        <w:ind w:left="1620"/>
        <w:rPr>
          <w:sz w:val="16"/>
          <w:szCs w:val="16"/>
        </w:rPr>
      </w:pPr>
    </w:p>
    <w:p w:rsidR="007700AC" w:rsidRDefault="00CC4CA9" w:rsidP="007700AC">
      <w:pPr>
        <w:pStyle w:val="Heading4"/>
        <w:spacing w:after="0"/>
        <w:rPr>
          <w:rFonts w:ascii="Times New Roman" w:hAnsi="Times New Roman"/>
          <w:b/>
          <w:sz w:val="28"/>
          <w:szCs w:val="28"/>
        </w:rPr>
      </w:pPr>
      <w:r>
        <w:rPr>
          <w:rFonts w:ascii="Times New Roman" w:hAnsi="Times New Roman"/>
          <w:b/>
          <w:sz w:val="28"/>
          <w:szCs w:val="28"/>
        </w:rPr>
        <w:t>New Process</w:t>
      </w:r>
      <w:r w:rsidR="00151B3E">
        <w:rPr>
          <w:rFonts w:ascii="Times New Roman" w:hAnsi="Times New Roman"/>
          <w:b/>
          <w:sz w:val="28"/>
          <w:szCs w:val="28"/>
        </w:rPr>
        <w:t xml:space="preserve"> for </w:t>
      </w:r>
      <w:r w:rsidR="004E4099">
        <w:rPr>
          <w:rFonts w:ascii="Times New Roman" w:hAnsi="Times New Roman"/>
          <w:b/>
          <w:sz w:val="28"/>
          <w:szCs w:val="28"/>
        </w:rPr>
        <w:t>Involuntary Deductions</w:t>
      </w:r>
    </w:p>
    <w:p w:rsidR="007700AC" w:rsidRPr="00C50FDD" w:rsidRDefault="007700AC" w:rsidP="007700AC">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79072D" w:rsidRPr="007700AC" w:rsidTr="005731AA">
        <w:trPr>
          <w:cantSplit/>
        </w:trPr>
        <w:tc>
          <w:tcPr>
            <w:tcW w:w="1728" w:type="dxa"/>
          </w:tcPr>
          <w:p w:rsidR="0079072D" w:rsidRPr="007700AC" w:rsidRDefault="00CC4CA9" w:rsidP="009B24C1">
            <w:pPr>
              <w:pStyle w:val="Heading5"/>
              <w:rPr>
                <w:sz w:val="24"/>
                <w:szCs w:val="24"/>
              </w:rPr>
            </w:pPr>
            <w:r>
              <w:rPr>
                <w:sz w:val="24"/>
                <w:szCs w:val="24"/>
              </w:rPr>
              <w:t xml:space="preserve">New Process Requirements Effective </w:t>
            </w:r>
            <w:r w:rsidR="009B24C1">
              <w:rPr>
                <w:sz w:val="24"/>
                <w:szCs w:val="24"/>
              </w:rPr>
              <w:t>June 2</w:t>
            </w:r>
            <w:r>
              <w:rPr>
                <w:sz w:val="24"/>
                <w:szCs w:val="24"/>
              </w:rPr>
              <w:t>, 2017</w:t>
            </w:r>
          </w:p>
        </w:tc>
        <w:tc>
          <w:tcPr>
            <w:tcW w:w="8460" w:type="dxa"/>
          </w:tcPr>
          <w:p w:rsidR="00151B3E" w:rsidRDefault="00151B3E" w:rsidP="00151B3E">
            <w:r>
              <w:t xml:space="preserve">Current processing </w:t>
            </w:r>
            <w:r w:rsidR="00F336B1">
              <w:t xml:space="preserve">for </w:t>
            </w:r>
            <w:r w:rsidR="004E4099">
              <w:t>involuntary</w:t>
            </w:r>
            <w:r w:rsidR="00F336B1">
              <w:t xml:space="preserve"> deductions </w:t>
            </w:r>
            <w:r w:rsidR="00461D98">
              <w:t xml:space="preserve">in CIPPS </w:t>
            </w:r>
            <w:r>
              <w:t xml:space="preserve">allows </w:t>
            </w:r>
            <w:r w:rsidR="00A92B9D">
              <w:t>agencies</w:t>
            </w:r>
            <w:r>
              <w:t xml:space="preserve"> to create a “free-form” third party check </w:t>
            </w:r>
            <w:r w:rsidR="00B347A5">
              <w:t>which</w:t>
            </w:r>
            <w:r>
              <w:t xml:space="preserve"> is printed </w:t>
            </w:r>
            <w:r w:rsidR="00B347A5">
              <w:t>during payroll processing</w:t>
            </w:r>
            <w:r>
              <w:t xml:space="preserve">.  These checks are then sent by the agency to </w:t>
            </w:r>
            <w:r w:rsidR="00877261">
              <w:t xml:space="preserve">the </w:t>
            </w:r>
            <w:r>
              <w:t>appropriate entity.</w:t>
            </w:r>
          </w:p>
          <w:p w:rsidR="00151B3E" w:rsidRDefault="00151B3E" w:rsidP="00151B3E"/>
          <w:p w:rsidR="00F336B1" w:rsidRDefault="00EF7A10" w:rsidP="00446DEB">
            <w:r>
              <w:t>After conversion</w:t>
            </w:r>
            <w:r w:rsidR="00A109C7">
              <w:t xml:space="preserve"> to Cardinal HCM </w:t>
            </w:r>
            <w:r w:rsidR="00F336B1">
              <w:t xml:space="preserve">each entity receiving payments </w:t>
            </w:r>
            <w:r w:rsidR="00151B3E">
              <w:t xml:space="preserve">for </w:t>
            </w:r>
            <w:r w:rsidR="004E4099">
              <w:t>involuntary</w:t>
            </w:r>
            <w:r w:rsidR="00151B3E">
              <w:t xml:space="preserve"> </w:t>
            </w:r>
            <w:r w:rsidR="00945BB6">
              <w:t>withholdings</w:t>
            </w:r>
            <w:r w:rsidR="00151B3E">
              <w:t xml:space="preserve"> </w:t>
            </w:r>
            <w:r w:rsidR="004C3535">
              <w:t xml:space="preserve">must </w:t>
            </w:r>
            <w:r w:rsidR="00A109C7">
              <w:t xml:space="preserve">have a </w:t>
            </w:r>
            <w:r w:rsidR="000E039D">
              <w:t>vendor</w:t>
            </w:r>
            <w:r w:rsidR="00B73156">
              <w:t xml:space="preserve"> (“supplier”</w:t>
            </w:r>
            <w:r w:rsidR="000E039D">
              <w:t>)</w:t>
            </w:r>
            <w:r w:rsidR="00A109C7">
              <w:t xml:space="preserve"> record</w:t>
            </w:r>
            <w:r w:rsidR="00500DAF">
              <w:t xml:space="preserve"> in Cardinal</w:t>
            </w:r>
            <w:r w:rsidR="00151B3E">
              <w:t xml:space="preserve">.  </w:t>
            </w:r>
            <w:r w:rsidR="00877261">
              <w:t xml:space="preserve">Cardinal records are statewide </w:t>
            </w:r>
            <w:r w:rsidR="00A109C7">
              <w:t xml:space="preserve">and </w:t>
            </w:r>
            <w:r w:rsidR="00B73156">
              <w:t>vendor</w:t>
            </w:r>
            <w:r w:rsidR="00A109C7">
              <w:t xml:space="preserve"> </w:t>
            </w:r>
            <w:r w:rsidR="00151B3E">
              <w:t>name and address informat</w:t>
            </w:r>
            <w:r w:rsidR="00446DEB">
              <w:t xml:space="preserve">ion </w:t>
            </w:r>
            <w:r w:rsidR="00A109C7">
              <w:t xml:space="preserve">is </w:t>
            </w:r>
            <w:r w:rsidR="00446DEB">
              <w:t>shared across agencies.</w:t>
            </w:r>
            <w:r w:rsidR="007E2943">
              <w:t xml:space="preserve">  (Employee information related to that vendor is not included in the vendor record.)</w:t>
            </w:r>
            <w:r w:rsidR="00446DEB">
              <w:t xml:space="preserve">  As a result</w:t>
            </w:r>
            <w:r w:rsidR="00026F4E">
              <w:t xml:space="preserve">, a new process </w:t>
            </w:r>
            <w:r w:rsidR="00945BB6">
              <w:t xml:space="preserve">is required </w:t>
            </w:r>
            <w:r w:rsidR="00026F4E">
              <w:t>to</w:t>
            </w:r>
            <w:r w:rsidR="004462A0">
              <w:t xml:space="preserve"> standardiz</w:t>
            </w:r>
            <w:r w:rsidR="00026F4E">
              <w:t>e</w:t>
            </w:r>
            <w:r w:rsidR="004462A0">
              <w:t xml:space="preserve"> </w:t>
            </w:r>
            <w:r w:rsidR="00446DEB">
              <w:t>the</w:t>
            </w:r>
            <w:r w:rsidR="00AE5767">
              <w:t xml:space="preserve"> payment</w:t>
            </w:r>
            <w:r w:rsidR="00446DEB">
              <w:t xml:space="preserve"> information </w:t>
            </w:r>
            <w:r w:rsidR="007E2943">
              <w:t xml:space="preserve">that will be </w:t>
            </w:r>
            <w:r w:rsidR="00446DEB">
              <w:t>provide</w:t>
            </w:r>
            <w:r w:rsidR="004462A0">
              <w:t>d</w:t>
            </w:r>
            <w:r w:rsidR="00446DEB">
              <w:t xml:space="preserve"> </w:t>
            </w:r>
            <w:r w:rsidR="00F336B1">
              <w:t>to Cardinal.</w:t>
            </w:r>
          </w:p>
          <w:p w:rsidR="00F336B1" w:rsidRDefault="00F336B1" w:rsidP="00446DEB"/>
          <w:p w:rsidR="000838F6" w:rsidRDefault="00446DEB" w:rsidP="00446DEB">
            <w:r w:rsidRPr="000838F6">
              <w:rPr>
                <w:b/>
              </w:rPr>
              <w:t xml:space="preserve">Effective </w:t>
            </w:r>
            <w:r w:rsidR="005A1FC9">
              <w:rPr>
                <w:b/>
              </w:rPr>
              <w:t>June 2</w:t>
            </w:r>
            <w:r w:rsidRPr="000838F6">
              <w:rPr>
                <w:b/>
              </w:rPr>
              <w:t>, 2017</w:t>
            </w:r>
            <w:r w:rsidR="00A109C7">
              <w:rPr>
                <w:b/>
              </w:rPr>
              <w:t>,</w:t>
            </w:r>
            <w:r w:rsidRPr="000838F6">
              <w:rPr>
                <w:b/>
              </w:rPr>
              <w:t xml:space="preserve"> </w:t>
            </w:r>
            <w:r w:rsidR="00B257C5">
              <w:rPr>
                <w:b/>
              </w:rPr>
              <w:t>line agencies</w:t>
            </w:r>
            <w:r w:rsidRPr="000838F6">
              <w:rPr>
                <w:b/>
              </w:rPr>
              <w:t xml:space="preserve"> will </w:t>
            </w:r>
            <w:r w:rsidR="00A109C7">
              <w:rPr>
                <w:b/>
              </w:rPr>
              <w:t xml:space="preserve">no longer be permitted to </w:t>
            </w:r>
            <w:r w:rsidRPr="000838F6">
              <w:rPr>
                <w:b/>
              </w:rPr>
              <w:t xml:space="preserve">make </w:t>
            </w:r>
            <w:r w:rsidR="00AE5767">
              <w:rPr>
                <w:b/>
              </w:rPr>
              <w:t xml:space="preserve">online </w:t>
            </w:r>
            <w:r w:rsidRPr="000838F6">
              <w:rPr>
                <w:b/>
              </w:rPr>
              <w:t>changes to screen H0901 (Deduction Payment Name and Address).</w:t>
            </w:r>
            <w:r>
              <w:t xml:space="preserve">   </w:t>
            </w:r>
            <w:r w:rsidR="005A6723">
              <w:t xml:space="preserve">Instead, </w:t>
            </w:r>
            <w:r w:rsidR="00B257C5">
              <w:t>H0901 will be established</w:t>
            </w:r>
            <w:r w:rsidR="00A92B9D">
              <w:t xml:space="preserve"> or changed</w:t>
            </w:r>
            <w:r w:rsidR="00B257C5">
              <w:t xml:space="preserve"> using a </w:t>
            </w:r>
            <w:r w:rsidR="000838F6">
              <w:t xml:space="preserve">new </w:t>
            </w:r>
            <w:r w:rsidR="004462A0">
              <w:t xml:space="preserve">Payline </w:t>
            </w:r>
            <w:r w:rsidR="000838F6">
              <w:t xml:space="preserve">application.  Similar to NSSA procedures, information entered before 2 pm will be sent to CIPPS </w:t>
            </w:r>
            <w:r w:rsidR="005A1FC9">
              <w:t>each</w:t>
            </w:r>
            <w:r w:rsidR="000838F6">
              <w:t xml:space="preserve"> night.  </w:t>
            </w:r>
            <w:r w:rsidR="00AE5767">
              <w:t xml:space="preserve">Agencies </w:t>
            </w:r>
            <w:r w:rsidR="00B257C5">
              <w:t xml:space="preserve">can view the new/updated H0901 information </w:t>
            </w:r>
            <w:r w:rsidR="00AE5767">
              <w:t xml:space="preserve">the following day </w:t>
            </w:r>
            <w:r w:rsidR="00B257C5">
              <w:t xml:space="preserve">and establish the deduction on screen H0ZDC (Employee Deductions).  </w:t>
            </w:r>
          </w:p>
          <w:p w:rsidR="00A7523B" w:rsidRDefault="00A7523B" w:rsidP="00446DEB"/>
          <w:p w:rsidR="00F336B1" w:rsidRDefault="001B66E0" w:rsidP="001B66E0">
            <w:r>
              <w:t>Pl</w:t>
            </w:r>
            <w:r w:rsidR="00BA0EEA">
              <w:t xml:space="preserve">ease begin using the new process </w:t>
            </w:r>
            <w:r w:rsidR="000F275A">
              <w:t xml:space="preserve">immediately </w:t>
            </w:r>
            <w:r w:rsidR="004462A0">
              <w:t>for</w:t>
            </w:r>
            <w:r w:rsidR="000838F6">
              <w:t xml:space="preserve"> each new order received.  </w:t>
            </w:r>
            <w:r>
              <w:t>D</w:t>
            </w:r>
            <w:r w:rsidR="000F275A">
              <w:t xml:space="preserve">eductions </w:t>
            </w:r>
            <w:r w:rsidR="000054AF">
              <w:t xml:space="preserve">established prior to </w:t>
            </w:r>
            <w:r w:rsidR="00A92B9D">
              <w:t>June 2</w:t>
            </w:r>
            <w:r w:rsidR="000054AF">
              <w:t xml:space="preserve"> </w:t>
            </w:r>
            <w:r w:rsidR="004462A0">
              <w:t xml:space="preserve">require </w:t>
            </w:r>
            <w:r w:rsidR="00120EE2">
              <w:t>change</w:t>
            </w:r>
            <w:r w:rsidR="000054AF">
              <w:t xml:space="preserve"> </w:t>
            </w:r>
            <w:r w:rsidR="000F275A" w:rsidRPr="0067284E">
              <w:rPr>
                <w:b/>
              </w:rPr>
              <w:t>ONLY</w:t>
            </w:r>
            <w:r w:rsidR="000F275A">
              <w:t xml:space="preserve"> if</w:t>
            </w:r>
            <w:r w:rsidR="000054AF">
              <w:t xml:space="preserve"> the</w:t>
            </w:r>
            <w:r w:rsidR="004462A0">
              <w:t>y will remain active beyond</w:t>
            </w:r>
            <w:r w:rsidR="000054AF">
              <w:t xml:space="preserve"> the </w:t>
            </w:r>
            <w:r w:rsidR="005E779D">
              <w:t>June</w:t>
            </w:r>
            <w:r w:rsidR="000054AF">
              <w:t xml:space="preserve"> 25 – </w:t>
            </w:r>
            <w:r w:rsidR="005E779D">
              <w:t>July</w:t>
            </w:r>
            <w:r w:rsidR="000054AF">
              <w:t xml:space="preserve"> 9, 2017</w:t>
            </w:r>
            <w:r w:rsidR="00120EE2">
              <w:t>,</w:t>
            </w:r>
            <w:r w:rsidR="000054AF">
              <w:t xml:space="preserve"> pay period</w:t>
            </w:r>
            <w:r w:rsidR="00120EE2">
              <w:t xml:space="preserve"> AND do not match the </w:t>
            </w:r>
            <w:r w:rsidR="000E039D">
              <w:t xml:space="preserve">supplier </w:t>
            </w:r>
            <w:r w:rsidR="00120EE2">
              <w:t>information provided in Payline</w:t>
            </w:r>
            <w:r w:rsidR="000054AF">
              <w:t>.</w:t>
            </w:r>
            <w:r w:rsidR="00120EE2">
              <w:t xml:space="preserve">  Agencies </w:t>
            </w:r>
            <w:r w:rsidR="00986868">
              <w:t xml:space="preserve">should </w:t>
            </w:r>
            <w:r w:rsidR="00A92B9D">
              <w:t>follow the procedures provided below to update H0901 as necessary.</w:t>
            </w:r>
            <w:r w:rsidR="000054AF">
              <w:t xml:space="preserve">  </w:t>
            </w:r>
          </w:p>
          <w:p w:rsidR="00BA0EEA" w:rsidRDefault="00BA0EEA" w:rsidP="001B66E0"/>
          <w:p w:rsidR="005731AA" w:rsidRPr="00030B56" w:rsidRDefault="005731AA" w:rsidP="001B66E0">
            <w:r>
              <w:t xml:space="preserve">Questions </w:t>
            </w:r>
            <w:r w:rsidR="00A92B9D">
              <w:t xml:space="preserve">regarding the new process </w:t>
            </w:r>
            <w:r>
              <w:t xml:space="preserve">should be sent to </w:t>
            </w:r>
            <w:hyperlink r:id="rId10" w:history="1">
              <w:r w:rsidR="00B647F3" w:rsidRPr="007E2F7A">
                <w:rPr>
                  <w:rStyle w:val="Hyperlink"/>
                </w:rPr>
                <w:t>payroll@doa.virginia.gov</w:t>
              </w:r>
            </w:hyperlink>
            <w:r>
              <w:t>.</w:t>
            </w:r>
          </w:p>
        </w:tc>
      </w:tr>
    </w:tbl>
    <w:p w:rsidR="005731AA" w:rsidRDefault="005731AA" w:rsidP="005731AA">
      <w:pPr>
        <w:pStyle w:val="BlockLine"/>
        <w:ind w:left="1620"/>
        <w:rPr>
          <w:szCs w:val="24"/>
        </w:rPr>
      </w:pPr>
    </w:p>
    <w:p w:rsidR="00A7523B" w:rsidRDefault="00A7523B" w:rsidP="00A7523B"/>
    <w:p w:rsidR="00191901" w:rsidRDefault="00191901" w:rsidP="00A7523B"/>
    <w:p w:rsidR="006931AB" w:rsidRDefault="006931AB" w:rsidP="00A7523B"/>
    <w:p w:rsidR="006931AB" w:rsidRDefault="006931AB" w:rsidP="00A7523B"/>
    <w:p w:rsidR="006931AB" w:rsidRDefault="006931AB" w:rsidP="00A7523B"/>
    <w:p w:rsidR="00986868" w:rsidRDefault="00986868" w:rsidP="00986868">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986868" w:rsidRPr="00C50FDD" w:rsidRDefault="00986868" w:rsidP="00986868">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5731AA" w:rsidRPr="00C61BA4" w:rsidTr="00611AA7">
        <w:trPr>
          <w:cantSplit/>
        </w:trPr>
        <w:tc>
          <w:tcPr>
            <w:tcW w:w="1728" w:type="dxa"/>
          </w:tcPr>
          <w:p w:rsidR="005731AA" w:rsidRPr="00C80C77" w:rsidRDefault="00C53B77" w:rsidP="00C53B77">
            <w:pPr>
              <w:rPr>
                <w:b/>
              </w:rPr>
            </w:pPr>
            <w:r>
              <w:rPr>
                <w:b/>
              </w:rPr>
              <w:t>How to Access the Payline Garnishment Utility</w:t>
            </w:r>
          </w:p>
        </w:tc>
        <w:tc>
          <w:tcPr>
            <w:tcW w:w="8460" w:type="dxa"/>
          </w:tcPr>
          <w:p w:rsidR="00A7523B" w:rsidRDefault="00A7523B" w:rsidP="00A7523B">
            <w:r>
              <w:t xml:space="preserve">Agencies </w:t>
            </w:r>
            <w:r w:rsidR="004A52D4">
              <w:t>should</w:t>
            </w:r>
            <w:r>
              <w:t xml:space="preserve"> use the newly revised Payline Security Form </w:t>
            </w:r>
            <w:r w:rsidR="004A52D4">
              <w:t xml:space="preserve">located at </w:t>
            </w:r>
            <w:hyperlink r:id="rId11" w:history="1">
              <w:r w:rsidR="004A52D4" w:rsidRPr="00CF1BC1">
                <w:rPr>
                  <w:rStyle w:val="Hyperlink"/>
                </w:rPr>
                <w:t>http://www.doa.virginia.gov/Payroll/Forms/PaylinePATSecurityForm.pdf</w:t>
              </w:r>
            </w:hyperlink>
            <w:r w:rsidR="004A52D4">
              <w:t xml:space="preserve"> </w:t>
            </w:r>
            <w:r w:rsidR="0067284E">
              <w:t>to request access to the new “Garnishment Maintenance” Utility</w:t>
            </w:r>
            <w:r w:rsidR="00AA278A">
              <w:t xml:space="preserve"> for appropriate staff.</w:t>
            </w:r>
          </w:p>
          <w:p w:rsidR="00A7523B" w:rsidRDefault="00A7523B" w:rsidP="00A7523B"/>
          <w:p w:rsidR="005731AA" w:rsidRDefault="00C73534" w:rsidP="00C73534">
            <w:pPr>
              <w:rPr>
                <w:szCs w:val="24"/>
              </w:rPr>
            </w:pPr>
            <w:r>
              <w:rPr>
                <w:szCs w:val="24"/>
              </w:rPr>
              <w:t xml:space="preserve">After State Payroll Operations has received and processed </w:t>
            </w:r>
            <w:r w:rsidR="0002659D">
              <w:rPr>
                <w:szCs w:val="24"/>
              </w:rPr>
              <w:t xml:space="preserve">the </w:t>
            </w:r>
            <w:r>
              <w:rPr>
                <w:szCs w:val="24"/>
              </w:rPr>
              <w:t xml:space="preserve">security form, the “Garnishment Maintenance” button </w:t>
            </w:r>
            <w:r w:rsidR="0002659D">
              <w:rPr>
                <w:szCs w:val="24"/>
              </w:rPr>
              <w:t xml:space="preserve">will be </w:t>
            </w:r>
            <w:r w:rsidR="0067284E">
              <w:rPr>
                <w:szCs w:val="24"/>
              </w:rPr>
              <w:t>visible</w:t>
            </w:r>
            <w:r w:rsidR="0002659D">
              <w:rPr>
                <w:szCs w:val="24"/>
              </w:rPr>
              <w:t xml:space="preserve"> </w:t>
            </w:r>
            <w:r>
              <w:rPr>
                <w:szCs w:val="24"/>
              </w:rPr>
              <w:t xml:space="preserve">on the left hand side of </w:t>
            </w:r>
            <w:r w:rsidR="0002659D">
              <w:rPr>
                <w:szCs w:val="24"/>
              </w:rPr>
              <w:t>the</w:t>
            </w:r>
            <w:r>
              <w:rPr>
                <w:szCs w:val="24"/>
              </w:rPr>
              <w:t xml:space="preserve"> screen </w:t>
            </w:r>
            <w:r w:rsidR="0002659D">
              <w:rPr>
                <w:szCs w:val="24"/>
              </w:rPr>
              <w:t>of the</w:t>
            </w:r>
            <w:r>
              <w:rPr>
                <w:szCs w:val="24"/>
              </w:rPr>
              <w:t xml:space="preserve"> Payline Main Menu</w:t>
            </w:r>
            <w:r w:rsidR="0002659D">
              <w:rPr>
                <w:szCs w:val="24"/>
              </w:rPr>
              <w:t>.  This feature is only accessible</w:t>
            </w:r>
            <w:r>
              <w:rPr>
                <w:szCs w:val="24"/>
              </w:rPr>
              <w:t xml:space="preserve"> using </w:t>
            </w:r>
            <w:r w:rsidR="0002659D">
              <w:rPr>
                <w:szCs w:val="24"/>
              </w:rPr>
              <w:t>an</w:t>
            </w:r>
            <w:r>
              <w:rPr>
                <w:szCs w:val="24"/>
              </w:rPr>
              <w:t xml:space="preserve"> Administrative (99 + EIN) logon.  Click the “Garnishment Maintenance” button to access the new utility.</w:t>
            </w:r>
          </w:p>
          <w:p w:rsidR="004866CE" w:rsidRDefault="004866CE" w:rsidP="00C73534">
            <w:pPr>
              <w:rPr>
                <w:szCs w:val="24"/>
              </w:rPr>
            </w:pPr>
          </w:p>
          <w:p w:rsidR="005E285B" w:rsidRPr="00C80C77" w:rsidRDefault="004866CE" w:rsidP="004866CE">
            <w:pPr>
              <w:jc w:val="center"/>
              <w:rPr>
                <w:szCs w:val="24"/>
              </w:rPr>
            </w:pPr>
            <w:r>
              <w:rPr>
                <w:noProof/>
              </w:rPr>
              <w:drawing>
                <wp:inline distT="0" distB="0" distL="0" distR="0" wp14:anchorId="11454E36" wp14:editId="2AD63759">
                  <wp:extent cx="1480190" cy="2952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80190" cy="2952750"/>
                          </a:xfrm>
                          <a:prstGeom prst="rect">
                            <a:avLst/>
                          </a:prstGeom>
                        </pic:spPr>
                      </pic:pic>
                    </a:graphicData>
                  </a:graphic>
                </wp:inline>
              </w:drawing>
            </w:r>
            <w:r w:rsidR="005C2067">
              <w:rPr>
                <w:noProof/>
              </w:rPr>
              <w:t xml:space="preserve">                                       </w:t>
            </w:r>
          </w:p>
        </w:tc>
      </w:tr>
    </w:tbl>
    <w:p w:rsidR="005731AA" w:rsidRDefault="005731AA" w:rsidP="005731AA">
      <w:pPr>
        <w:pStyle w:val="BlockLine"/>
        <w:ind w:left="1620"/>
      </w:pPr>
      <w:r>
        <w:t xml:space="preserve"> </w:t>
      </w:r>
    </w:p>
    <w:tbl>
      <w:tblPr>
        <w:tblW w:w="10188" w:type="dxa"/>
        <w:tblLayout w:type="fixed"/>
        <w:tblLook w:val="0000" w:firstRow="0" w:lastRow="0" w:firstColumn="0" w:lastColumn="0" w:noHBand="0" w:noVBand="0"/>
      </w:tblPr>
      <w:tblGrid>
        <w:gridCol w:w="1728"/>
        <w:gridCol w:w="8460"/>
      </w:tblGrid>
      <w:tr w:rsidR="004866CE" w:rsidRPr="00C80C77" w:rsidTr="00611AA7">
        <w:trPr>
          <w:cantSplit/>
        </w:trPr>
        <w:tc>
          <w:tcPr>
            <w:tcW w:w="1728" w:type="dxa"/>
          </w:tcPr>
          <w:p w:rsidR="004866CE" w:rsidRPr="00C80C77" w:rsidRDefault="00943DAF" w:rsidP="00943DAF">
            <w:pPr>
              <w:rPr>
                <w:b/>
              </w:rPr>
            </w:pPr>
            <w:r>
              <w:rPr>
                <w:b/>
              </w:rPr>
              <w:t xml:space="preserve">Part 1 - </w:t>
            </w:r>
            <w:r w:rsidR="004866CE">
              <w:rPr>
                <w:b/>
              </w:rPr>
              <w:t xml:space="preserve">Establish </w:t>
            </w:r>
            <w:r>
              <w:rPr>
                <w:b/>
              </w:rPr>
              <w:t>the H0901 Record Through Payline</w:t>
            </w:r>
          </w:p>
        </w:tc>
        <w:tc>
          <w:tcPr>
            <w:tcW w:w="8460" w:type="dxa"/>
          </w:tcPr>
          <w:p w:rsidR="004866CE" w:rsidRDefault="004866CE" w:rsidP="00611AA7">
            <w:pPr>
              <w:rPr>
                <w:noProof/>
              </w:rPr>
            </w:pPr>
            <w:r>
              <w:rPr>
                <w:noProof/>
              </w:rPr>
              <w:t xml:space="preserve">Clicking on “Garnishment Maintenance” </w:t>
            </w:r>
            <w:r w:rsidR="0067284E">
              <w:rPr>
                <w:noProof/>
              </w:rPr>
              <w:t>returns</w:t>
            </w:r>
            <w:r>
              <w:rPr>
                <w:noProof/>
              </w:rPr>
              <w:t xml:space="preserve"> the screen shown below:  </w:t>
            </w:r>
          </w:p>
          <w:p w:rsidR="004866CE" w:rsidRDefault="004866CE" w:rsidP="00611AA7">
            <w:pPr>
              <w:rPr>
                <w:noProof/>
              </w:rPr>
            </w:pPr>
          </w:p>
          <w:p w:rsidR="004866CE" w:rsidRDefault="00413AC9" w:rsidP="00611AA7">
            <w:pPr>
              <w:rPr>
                <w:szCs w:val="24"/>
              </w:rPr>
            </w:pPr>
            <w:r>
              <w:rPr>
                <w:noProof/>
              </w:rPr>
              <w:drawing>
                <wp:inline distT="0" distB="0" distL="0" distR="0" wp14:anchorId="51AD58C4" wp14:editId="19402426">
                  <wp:extent cx="5226827" cy="167023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37333" cy="1673596"/>
                          </a:xfrm>
                          <a:prstGeom prst="rect">
                            <a:avLst/>
                          </a:prstGeom>
                        </pic:spPr>
                      </pic:pic>
                    </a:graphicData>
                  </a:graphic>
                </wp:inline>
              </w:drawing>
            </w:r>
          </w:p>
          <w:p w:rsidR="004866CE" w:rsidRDefault="004866CE" w:rsidP="00611AA7">
            <w:pPr>
              <w:rPr>
                <w:noProof/>
              </w:rPr>
            </w:pPr>
          </w:p>
          <w:p w:rsidR="004866CE" w:rsidRPr="00C80C77" w:rsidRDefault="0067284E" w:rsidP="0067284E">
            <w:pPr>
              <w:rPr>
                <w:szCs w:val="24"/>
              </w:rPr>
            </w:pPr>
            <w:r>
              <w:rPr>
                <w:noProof/>
              </w:rPr>
              <w:t xml:space="preserve">Records </w:t>
            </w:r>
            <w:r w:rsidR="004866CE">
              <w:rPr>
                <w:noProof/>
              </w:rPr>
              <w:t>added since the advent of this new utility will automatically be displayed</w:t>
            </w:r>
            <w:r w:rsidR="005E779D">
              <w:rPr>
                <w:noProof/>
              </w:rPr>
              <w:t xml:space="preserve"> for the selected agency</w:t>
            </w:r>
            <w:r w:rsidR="00927614">
              <w:rPr>
                <w:noProof/>
              </w:rPr>
              <w:t>.</w:t>
            </w:r>
            <w:r w:rsidR="00AA278A">
              <w:rPr>
                <w:noProof/>
              </w:rPr>
              <w:t xml:space="preserve">  Agencies can see only the records for their agency.</w:t>
            </w:r>
          </w:p>
        </w:tc>
      </w:tr>
    </w:tbl>
    <w:p w:rsidR="00927614" w:rsidRPr="008F1556" w:rsidRDefault="008F1556" w:rsidP="008F1556">
      <w:pPr>
        <w:pStyle w:val="BlockLine"/>
        <w:ind w:left="1620"/>
        <w:jc w:val="right"/>
        <w:rPr>
          <w:i/>
          <w:sz w:val="20"/>
        </w:rPr>
      </w:pPr>
      <w:r>
        <w:rPr>
          <w:i/>
          <w:sz w:val="20"/>
        </w:rPr>
        <w:t>Continued on the next page</w:t>
      </w:r>
    </w:p>
    <w:p w:rsidR="00986868" w:rsidRDefault="00986868" w:rsidP="00986868"/>
    <w:p w:rsidR="00C27827" w:rsidRDefault="00C27827" w:rsidP="00C27827">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C27827" w:rsidRPr="00C50FDD" w:rsidRDefault="00C27827" w:rsidP="00C27827">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0F2CA8" w:rsidRPr="00C61BA4" w:rsidTr="00611AA7">
        <w:trPr>
          <w:cantSplit/>
        </w:trPr>
        <w:tc>
          <w:tcPr>
            <w:tcW w:w="1728" w:type="dxa"/>
          </w:tcPr>
          <w:p w:rsidR="000F2CA8" w:rsidRPr="00C80C77" w:rsidRDefault="00943DAF" w:rsidP="00611AA7">
            <w:pPr>
              <w:rPr>
                <w:b/>
              </w:rPr>
            </w:pPr>
            <w:r>
              <w:rPr>
                <w:b/>
              </w:rPr>
              <w:t>Part 1 - Establish the H0901 Record Through Payline,</w:t>
            </w:r>
            <w:r w:rsidRPr="00E41298">
              <w:rPr>
                <w:i/>
              </w:rPr>
              <w:t xml:space="preserve"> </w:t>
            </w:r>
            <w:r w:rsidR="00927614" w:rsidRPr="00E41298">
              <w:rPr>
                <w:i/>
              </w:rPr>
              <w:t>continued</w:t>
            </w:r>
          </w:p>
        </w:tc>
        <w:tc>
          <w:tcPr>
            <w:tcW w:w="8460" w:type="dxa"/>
          </w:tcPr>
          <w:p w:rsidR="001A30BA" w:rsidRDefault="001A30BA" w:rsidP="00444FC8">
            <w:pPr>
              <w:rPr>
                <w:noProof/>
              </w:rPr>
            </w:pPr>
            <w:r>
              <w:rPr>
                <w:noProof/>
              </w:rPr>
              <w:t xml:space="preserve">Click on the “Add New Record” button to create the </w:t>
            </w:r>
            <w:r w:rsidR="00927614">
              <w:rPr>
                <w:noProof/>
              </w:rPr>
              <w:t>record</w:t>
            </w:r>
            <w:r>
              <w:rPr>
                <w:noProof/>
              </w:rPr>
              <w:t xml:space="preserve"> for the Involuntary Deduction.</w:t>
            </w:r>
          </w:p>
          <w:p w:rsidR="00927614" w:rsidRDefault="008A5B7D" w:rsidP="00444FC8">
            <w:pPr>
              <w:rPr>
                <w:noProof/>
              </w:rPr>
            </w:pPr>
            <w:r>
              <w:rPr>
                <w:noProof/>
              </w:rPr>
              <w:drawing>
                <wp:inline distT="0" distB="0" distL="0" distR="0" wp14:anchorId="23615C99" wp14:editId="692A1021">
                  <wp:extent cx="5257800" cy="1659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7800" cy="1659914"/>
                          </a:xfrm>
                          <a:prstGeom prst="rect">
                            <a:avLst/>
                          </a:prstGeom>
                        </pic:spPr>
                      </pic:pic>
                    </a:graphicData>
                  </a:graphic>
                </wp:inline>
              </w:drawing>
            </w:r>
          </w:p>
          <w:p w:rsidR="008A5B7D" w:rsidRDefault="008A5B7D" w:rsidP="00444FC8">
            <w:pPr>
              <w:rPr>
                <w:noProof/>
              </w:rPr>
            </w:pPr>
          </w:p>
          <w:p w:rsidR="00927614" w:rsidRDefault="00927614" w:rsidP="00444FC8">
            <w:pPr>
              <w:rPr>
                <w:noProof/>
              </w:rPr>
            </w:pPr>
            <w:r>
              <w:rPr>
                <w:noProof/>
              </w:rPr>
              <w:t>The screen shot below shows the entry screen:</w:t>
            </w:r>
          </w:p>
          <w:p w:rsidR="007A44AD" w:rsidRDefault="007A44AD" w:rsidP="00444FC8">
            <w:pPr>
              <w:rPr>
                <w:noProof/>
              </w:rPr>
            </w:pPr>
          </w:p>
          <w:p w:rsidR="00927614" w:rsidRDefault="00721162" w:rsidP="00444FC8">
            <w:pPr>
              <w:rPr>
                <w:noProof/>
              </w:rPr>
            </w:pPr>
            <w:r>
              <w:rPr>
                <w:noProof/>
              </w:rPr>
              <w:drawing>
                <wp:inline distT="0" distB="0" distL="0" distR="0" wp14:anchorId="2E914E9F" wp14:editId="72104545">
                  <wp:extent cx="5248275" cy="2552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48275" cy="2552700"/>
                          </a:xfrm>
                          <a:prstGeom prst="rect">
                            <a:avLst/>
                          </a:prstGeom>
                        </pic:spPr>
                      </pic:pic>
                    </a:graphicData>
                  </a:graphic>
                </wp:inline>
              </w:drawing>
            </w:r>
          </w:p>
          <w:p w:rsidR="000F2CA8" w:rsidRPr="00E41298" w:rsidRDefault="00E41298" w:rsidP="00E41298">
            <w:pPr>
              <w:rPr>
                <w:noProof/>
              </w:rPr>
            </w:pPr>
            <w:r>
              <w:rPr>
                <w:noProof/>
              </w:rPr>
              <w:t xml:space="preserve"> </w:t>
            </w:r>
            <w:r w:rsidR="000F2CA8">
              <w:rPr>
                <w:noProof/>
              </w:rPr>
              <w:t xml:space="preserve">   </w:t>
            </w:r>
          </w:p>
        </w:tc>
      </w:tr>
    </w:tbl>
    <w:p w:rsidR="000F2CA8" w:rsidRPr="007700AC" w:rsidRDefault="000F2CA8" w:rsidP="000F2CA8">
      <w:pPr>
        <w:pStyle w:val="BlockLine"/>
        <w:ind w:left="1620"/>
        <w:rPr>
          <w:szCs w:val="24"/>
        </w:rPr>
      </w:pPr>
    </w:p>
    <w:tbl>
      <w:tblPr>
        <w:tblW w:w="10188" w:type="dxa"/>
        <w:tblLayout w:type="fixed"/>
        <w:tblLook w:val="0000" w:firstRow="0" w:lastRow="0" w:firstColumn="0" w:lastColumn="0" w:noHBand="0" w:noVBand="0"/>
      </w:tblPr>
      <w:tblGrid>
        <w:gridCol w:w="1728"/>
        <w:gridCol w:w="8460"/>
      </w:tblGrid>
      <w:tr w:rsidR="00CD62A1" w:rsidRPr="00C61BA4" w:rsidTr="00611AA7">
        <w:trPr>
          <w:cantSplit/>
        </w:trPr>
        <w:tc>
          <w:tcPr>
            <w:tcW w:w="1728" w:type="dxa"/>
          </w:tcPr>
          <w:p w:rsidR="00CD62A1" w:rsidRPr="00C80C77" w:rsidRDefault="00CD62A1" w:rsidP="00611AA7">
            <w:pPr>
              <w:rPr>
                <w:b/>
              </w:rPr>
            </w:pPr>
            <w:r>
              <w:rPr>
                <w:b/>
              </w:rPr>
              <w:t>Field Entry for the Garnishment Maintenance -Add Record Screen</w:t>
            </w:r>
          </w:p>
        </w:tc>
        <w:tc>
          <w:tcPr>
            <w:tcW w:w="8460" w:type="dxa"/>
          </w:tcPr>
          <w:p w:rsidR="00CD62A1" w:rsidRDefault="00CD62A1" w:rsidP="00611AA7">
            <w:pPr>
              <w:rPr>
                <w:noProof/>
              </w:rPr>
            </w:pPr>
            <w:r>
              <w:rPr>
                <w:noProof/>
              </w:rPr>
              <w:t>Update the following fields to add a new record:</w:t>
            </w:r>
          </w:p>
          <w:p w:rsidR="00CD62A1" w:rsidRDefault="00CD62A1" w:rsidP="00611AA7">
            <w:pPr>
              <w:rPr>
                <w:noProof/>
              </w:rPr>
            </w:pPr>
          </w:p>
          <w:p w:rsidR="00CD62A1" w:rsidRDefault="00CD62A1" w:rsidP="00611AA7">
            <w:pPr>
              <w:rPr>
                <w:noProof/>
              </w:rPr>
            </w:pPr>
            <w:r w:rsidRPr="00FF53D6">
              <w:rPr>
                <w:b/>
                <w:noProof/>
              </w:rPr>
              <w:t>Agency:</w:t>
            </w:r>
            <w:r>
              <w:rPr>
                <w:b/>
                <w:noProof/>
              </w:rPr>
              <w:t xml:space="preserve"> </w:t>
            </w:r>
            <w:r>
              <w:rPr>
                <w:noProof/>
              </w:rPr>
              <w:t xml:space="preserve">Using the drop down box, select the </w:t>
            </w:r>
            <w:r w:rsidR="008A5B7D">
              <w:rPr>
                <w:noProof/>
              </w:rPr>
              <w:t xml:space="preserve">appropriate </w:t>
            </w:r>
            <w:r>
              <w:rPr>
                <w:noProof/>
              </w:rPr>
              <w:t>agency</w:t>
            </w:r>
            <w:r w:rsidR="009D3E57">
              <w:rPr>
                <w:noProof/>
              </w:rPr>
              <w:t>.</w:t>
            </w:r>
            <w:r w:rsidR="008F1556">
              <w:rPr>
                <w:noProof/>
              </w:rPr>
              <w:t xml:space="preserve">  </w:t>
            </w:r>
            <w:r w:rsidR="009D3E57">
              <w:rPr>
                <w:noProof/>
              </w:rPr>
              <w:t xml:space="preserve">  </w:t>
            </w:r>
          </w:p>
          <w:p w:rsidR="00CD62A1" w:rsidRDefault="00CD62A1" w:rsidP="00611AA7">
            <w:pPr>
              <w:rPr>
                <w:noProof/>
              </w:rPr>
            </w:pPr>
          </w:p>
          <w:p w:rsidR="006D5EC0" w:rsidRPr="00D417A9" w:rsidRDefault="00CD62A1" w:rsidP="008A5B7D">
            <w:r>
              <w:rPr>
                <w:b/>
                <w:noProof/>
              </w:rPr>
              <w:t xml:space="preserve">Employee Number:  </w:t>
            </w:r>
            <w:r w:rsidR="00D417A9">
              <w:rPr>
                <w:noProof/>
              </w:rPr>
              <w:t xml:space="preserve">A special “Search and Select” feature has been developed to help enter valid employee numbers.  Begin typing either the employee number or </w:t>
            </w:r>
            <w:r w:rsidR="00D417A9">
              <w:t xml:space="preserve">the last name and a list of employees that match the criteria will be shown on the right hand side of the screen.  Click on the desired entry and the information will be </w:t>
            </w:r>
            <w:r w:rsidR="002463DF">
              <w:t>posted</w:t>
            </w:r>
            <w:r w:rsidR="00D417A9">
              <w:t xml:space="preserve"> to the pertinent fields on</w:t>
            </w:r>
            <w:r w:rsidR="00D417A9">
              <w:rPr>
                <w:noProof/>
              </w:rPr>
              <w:t xml:space="preserve"> the left hand side of the form.</w:t>
            </w:r>
            <w:r w:rsidR="00EF05D4">
              <w:rPr>
                <w:noProof/>
              </w:rPr>
              <w:t xml:space="preserve">  </w:t>
            </w:r>
            <w:r w:rsidR="008F1556">
              <w:rPr>
                <w:noProof/>
              </w:rPr>
              <w:t xml:space="preserve">This table contains all employees who have received a payment through CIPPS by agency.  </w:t>
            </w:r>
            <w:r w:rsidR="008A5B7D">
              <w:rPr>
                <w:noProof/>
              </w:rPr>
              <w:t>Examples are provided on the following pages.</w:t>
            </w:r>
          </w:p>
        </w:tc>
      </w:tr>
    </w:tbl>
    <w:p w:rsidR="00EF05D4" w:rsidRPr="00C220BB" w:rsidRDefault="00C220BB" w:rsidP="00C220BB">
      <w:pPr>
        <w:pStyle w:val="BlockLine"/>
        <w:ind w:left="1620"/>
        <w:jc w:val="right"/>
        <w:rPr>
          <w:i/>
          <w:sz w:val="20"/>
        </w:rPr>
      </w:pPr>
      <w:r>
        <w:rPr>
          <w:i/>
          <w:sz w:val="20"/>
        </w:rPr>
        <w:t>Continued on the next page</w:t>
      </w:r>
    </w:p>
    <w:p w:rsidR="00CD62A1" w:rsidRDefault="00CD62A1">
      <w:pPr>
        <w:rPr>
          <w:b/>
          <w:sz w:val="28"/>
          <w:szCs w:val="28"/>
        </w:rPr>
      </w:pPr>
    </w:p>
    <w:p w:rsidR="001439EF" w:rsidRDefault="001439EF" w:rsidP="001439EF">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1439EF" w:rsidRPr="00C50FDD" w:rsidRDefault="001439EF" w:rsidP="001439EF">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EF05D4" w:rsidRPr="00C61BA4" w:rsidTr="00611AA7">
        <w:trPr>
          <w:cantSplit/>
        </w:trPr>
        <w:tc>
          <w:tcPr>
            <w:tcW w:w="1728" w:type="dxa"/>
          </w:tcPr>
          <w:p w:rsidR="00EF05D4" w:rsidRPr="00C80C77" w:rsidRDefault="00EF05D4" w:rsidP="00611AA7">
            <w:pPr>
              <w:rPr>
                <w:b/>
              </w:rPr>
            </w:pPr>
            <w:r>
              <w:rPr>
                <w:b/>
              </w:rPr>
              <w:t xml:space="preserve">Field Entry for the Garnishment Maintenance -Add Record Screen, </w:t>
            </w:r>
            <w:r w:rsidRPr="00EF05D4">
              <w:rPr>
                <w:i/>
              </w:rPr>
              <w:t>continued</w:t>
            </w:r>
          </w:p>
        </w:tc>
        <w:tc>
          <w:tcPr>
            <w:tcW w:w="8460" w:type="dxa"/>
          </w:tcPr>
          <w:p w:rsidR="00EF05D4" w:rsidRDefault="004C682C" w:rsidP="00611AA7">
            <w:pPr>
              <w:rPr>
                <w:noProof/>
              </w:rPr>
            </w:pPr>
            <w:r>
              <w:rPr>
                <w:noProof/>
              </w:rPr>
              <w:t>Entering</w:t>
            </w:r>
            <w:r w:rsidR="00EF05D4">
              <w:rPr>
                <w:noProof/>
              </w:rPr>
              <w:t xml:space="preserve"> “</w:t>
            </w:r>
            <w:r w:rsidR="008A5B7D">
              <w:rPr>
                <w:noProof/>
              </w:rPr>
              <w:t>ex</w:t>
            </w:r>
            <w:r w:rsidR="00EF05D4">
              <w:rPr>
                <w:noProof/>
              </w:rPr>
              <w:t>”</w:t>
            </w:r>
            <w:r w:rsidR="008C490D">
              <w:rPr>
                <w:noProof/>
              </w:rPr>
              <w:t xml:space="preserve"> in the “Employee Number” field…</w:t>
            </w:r>
          </w:p>
          <w:p w:rsidR="00EF05D4" w:rsidRDefault="00EF05D4" w:rsidP="00611AA7">
            <w:pPr>
              <w:rPr>
                <w:noProof/>
              </w:rPr>
            </w:pPr>
          </w:p>
          <w:p w:rsidR="00EF05D4" w:rsidRDefault="00EF05D4" w:rsidP="00611AA7">
            <w:r>
              <w:rPr>
                <w:noProof/>
              </w:rPr>
              <w:drawing>
                <wp:inline distT="0" distB="0" distL="0" distR="0" wp14:anchorId="06D8BA36" wp14:editId="436C6197">
                  <wp:extent cx="350520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05200" cy="514350"/>
                          </a:xfrm>
                          <a:prstGeom prst="rect">
                            <a:avLst/>
                          </a:prstGeom>
                        </pic:spPr>
                      </pic:pic>
                    </a:graphicData>
                  </a:graphic>
                </wp:inline>
              </w:drawing>
            </w:r>
          </w:p>
          <w:p w:rsidR="00EF05D4" w:rsidRDefault="00EF05D4" w:rsidP="00611AA7"/>
          <w:p w:rsidR="00EF05D4" w:rsidRDefault="004C682C" w:rsidP="00611AA7">
            <w:pPr>
              <w:rPr>
                <w:noProof/>
              </w:rPr>
            </w:pPr>
            <w:r>
              <w:rPr>
                <w:noProof/>
              </w:rPr>
              <w:t>Presents</w:t>
            </w:r>
            <w:r w:rsidR="00A02AA5">
              <w:rPr>
                <w:noProof/>
              </w:rPr>
              <w:t xml:space="preserve"> a </w:t>
            </w:r>
            <w:r w:rsidR="00EF05D4">
              <w:rPr>
                <w:noProof/>
              </w:rPr>
              <w:t>list of employees with “</w:t>
            </w:r>
            <w:r w:rsidR="008F1556">
              <w:rPr>
                <w:noProof/>
              </w:rPr>
              <w:t>Ex</w:t>
            </w:r>
            <w:r w:rsidR="00EF05D4">
              <w:rPr>
                <w:noProof/>
              </w:rPr>
              <w:t>” in their name in the selection box on the right.</w:t>
            </w:r>
          </w:p>
          <w:p w:rsidR="00EF05D4" w:rsidRDefault="00EF05D4" w:rsidP="00611AA7">
            <w:pPr>
              <w:rPr>
                <w:noProof/>
              </w:rPr>
            </w:pPr>
          </w:p>
          <w:p w:rsidR="00EF05D4" w:rsidRDefault="00A02AA5" w:rsidP="00611AA7">
            <w:r>
              <w:rPr>
                <w:noProof/>
              </w:rPr>
              <w:drawing>
                <wp:inline distT="0" distB="0" distL="0" distR="0" wp14:anchorId="2FE8ABA2" wp14:editId="0C0D2E29">
                  <wp:extent cx="4543425" cy="3352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43425" cy="3352800"/>
                          </a:xfrm>
                          <a:prstGeom prst="rect">
                            <a:avLst/>
                          </a:prstGeom>
                        </pic:spPr>
                      </pic:pic>
                    </a:graphicData>
                  </a:graphic>
                </wp:inline>
              </w:drawing>
            </w:r>
          </w:p>
          <w:p w:rsidR="00EF05D4" w:rsidRDefault="00EF05D4" w:rsidP="00611AA7"/>
          <w:p w:rsidR="00A02AA5" w:rsidRDefault="00A02AA5" w:rsidP="00A02AA5"/>
          <w:p w:rsidR="00A02AA5" w:rsidRDefault="00A02AA5" w:rsidP="00A02AA5">
            <w:r>
              <w:t>Double click on the correct employee information in the selection box (in this example 88002126000) to fill in the pertinent fields on the form.</w:t>
            </w:r>
          </w:p>
          <w:p w:rsidR="00A02AA5" w:rsidRDefault="00A02AA5" w:rsidP="00A02AA5"/>
          <w:p w:rsidR="00A02AA5" w:rsidRDefault="00A02AA5" w:rsidP="00A02AA5"/>
          <w:p w:rsidR="00A02AA5" w:rsidRDefault="00A02AA5" w:rsidP="00A02AA5">
            <w:r>
              <w:rPr>
                <w:noProof/>
              </w:rPr>
              <w:drawing>
                <wp:inline distT="0" distB="0" distL="0" distR="0" wp14:anchorId="70B0993B" wp14:editId="41F3716E">
                  <wp:extent cx="4972050" cy="733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72050" cy="733425"/>
                          </a:xfrm>
                          <a:prstGeom prst="rect">
                            <a:avLst/>
                          </a:prstGeom>
                        </pic:spPr>
                      </pic:pic>
                    </a:graphicData>
                  </a:graphic>
                </wp:inline>
              </w:drawing>
            </w:r>
          </w:p>
          <w:p w:rsidR="00A02AA5" w:rsidRDefault="00A02AA5" w:rsidP="00A02AA5"/>
          <w:p w:rsidR="00A02AA5" w:rsidRDefault="00A02AA5" w:rsidP="00A02AA5"/>
          <w:p w:rsidR="00A02AA5" w:rsidRPr="00D417A9" w:rsidRDefault="00A02AA5" w:rsidP="00447FB0">
            <w:r>
              <w:t xml:space="preserve">The Employee Number field and the Employee Name are automatically filled in </w:t>
            </w:r>
            <w:r w:rsidR="004022F4">
              <w:t>after clicking</w:t>
            </w:r>
            <w:r>
              <w:t xml:space="preserve"> on the employee i</w:t>
            </w:r>
            <w:r w:rsidR="00C92086">
              <w:t>nformation in the selection box.</w:t>
            </w:r>
          </w:p>
        </w:tc>
      </w:tr>
    </w:tbl>
    <w:p w:rsidR="00EF05D4" w:rsidRPr="00C92086" w:rsidRDefault="00C92086" w:rsidP="00C92086">
      <w:pPr>
        <w:pStyle w:val="BlockLine"/>
        <w:ind w:left="1620"/>
        <w:jc w:val="right"/>
        <w:rPr>
          <w:i/>
          <w:sz w:val="20"/>
        </w:rPr>
      </w:pPr>
      <w:r>
        <w:rPr>
          <w:i/>
          <w:sz w:val="20"/>
        </w:rPr>
        <w:t>Continued on next page</w:t>
      </w:r>
    </w:p>
    <w:p w:rsidR="00EF05D4" w:rsidRDefault="00EF05D4">
      <w:pPr>
        <w:rPr>
          <w:b/>
          <w:sz w:val="28"/>
          <w:szCs w:val="28"/>
        </w:rPr>
      </w:pPr>
    </w:p>
    <w:p w:rsidR="003F21B4" w:rsidRDefault="003F21B4" w:rsidP="001439EF">
      <w:pPr>
        <w:pStyle w:val="Heading4"/>
        <w:spacing w:after="0"/>
        <w:rPr>
          <w:rFonts w:ascii="Times New Roman" w:hAnsi="Times New Roman"/>
          <w:b/>
          <w:sz w:val="28"/>
          <w:szCs w:val="28"/>
        </w:rPr>
      </w:pPr>
    </w:p>
    <w:p w:rsidR="001439EF" w:rsidRDefault="001439EF" w:rsidP="001439EF">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1439EF" w:rsidRPr="00C50FDD" w:rsidRDefault="001439EF" w:rsidP="001439EF">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F35F04" w:rsidRPr="00C61BA4" w:rsidTr="00611AA7">
        <w:trPr>
          <w:cantSplit/>
        </w:trPr>
        <w:tc>
          <w:tcPr>
            <w:tcW w:w="1728" w:type="dxa"/>
          </w:tcPr>
          <w:p w:rsidR="00F35F04" w:rsidRPr="00C80C77" w:rsidRDefault="00F35F04" w:rsidP="00611AA7">
            <w:pPr>
              <w:rPr>
                <w:b/>
              </w:rPr>
            </w:pPr>
            <w:r>
              <w:rPr>
                <w:b/>
              </w:rPr>
              <w:t xml:space="preserve">Field Entry for the Garnishment Maintenance -Add Record Screen, </w:t>
            </w:r>
            <w:r w:rsidRPr="00EF05D4">
              <w:rPr>
                <w:i/>
              </w:rPr>
              <w:t>continued</w:t>
            </w:r>
          </w:p>
        </w:tc>
        <w:tc>
          <w:tcPr>
            <w:tcW w:w="8460" w:type="dxa"/>
          </w:tcPr>
          <w:p w:rsidR="00F35F04" w:rsidRDefault="00753ACB" w:rsidP="00611AA7">
            <w:r>
              <w:rPr>
                <w:b/>
              </w:rPr>
              <w:t xml:space="preserve">H0901 Name Number:  </w:t>
            </w:r>
            <w:r>
              <w:t>Choose the Name Number record in the drop down box.  This number corresponds to the “Name Number” field on the H0901 as shown below:</w:t>
            </w:r>
          </w:p>
          <w:p w:rsidR="000C11EA" w:rsidRDefault="000C11EA" w:rsidP="00611AA7"/>
          <w:p w:rsidR="00753ACB" w:rsidRDefault="00753ACB" w:rsidP="00611AA7"/>
          <w:p w:rsidR="00753ACB" w:rsidRDefault="00753ACB" w:rsidP="00611AA7">
            <w:r>
              <w:rPr>
                <w:noProof/>
              </w:rPr>
              <w:drawing>
                <wp:inline distT="0" distB="0" distL="0" distR="0" wp14:anchorId="197AB5C3" wp14:editId="139BAA9F">
                  <wp:extent cx="4800600" cy="81343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0600" cy="813435"/>
                          </a:xfrm>
                          <a:prstGeom prst="rect">
                            <a:avLst/>
                          </a:prstGeom>
                        </pic:spPr>
                      </pic:pic>
                    </a:graphicData>
                  </a:graphic>
                </wp:inline>
              </w:drawing>
            </w:r>
          </w:p>
          <w:p w:rsidR="00753ACB" w:rsidRDefault="00753ACB" w:rsidP="00611AA7"/>
          <w:p w:rsidR="00753ACB" w:rsidRDefault="00692E83" w:rsidP="00692E83">
            <w:r>
              <w:t>The information enter</w:t>
            </w:r>
            <w:r w:rsidR="005E779D">
              <w:t>ed</w:t>
            </w:r>
            <w:r>
              <w:t xml:space="preserve"> on this record will establish</w:t>
            </w:r>
            <w:r w:rsidR="004022F4">
              <w:t>/update</w:t>
            </w:r>
            <w:r>
              <w:t xml:space="preserve"> the H0901 information for that Name Number if it does not already exist.  If a record already exists in CIPPS the utility will overwrite the existing information for that Name Number.</w:t>
            </w:r>
          </w:p>
          <w:p w:rsidR="00692E83" w:rsidRDefault="00692E83" w:rsidP="00692E83"/>
          <w:p w:rsidR="00692E83" w:rsidRDefault="00611AA7" w:rsidP="00692E83">
            <w:r>
              <w:rPr>
                <w:b/>
              </w:rPr>
              <w:t xml:space="preserve">Record Type:  </w:t>
            </w:r>
            <w:r>
              <w:t>Choose the appropriate code from the drop down list.  T</w:t>
            </w:r>
            <w:r w:rsidR="000744A3">
              <w:t xml:space="preserve">he list of codes is shown below.  A default code of “000” </w:t>
            </w:r>
            <w:r w:rsidR="0048660E">
              <w:t>indicates</w:t>
            </w:r>
            <w:r w:rsidR="000744A3">
              <w:t xml:space="preserve"> the deduction is for Child Support </w:t>
            </w:r>
            <w:r w:rsidR="008F2193">
              <w:t xml:space="preserve">for another state </w:t>
            </w:r>
            <w:r w:rsidR="000744A3">
              <w:t xml:space="preserve">if </w:t>
            </w:r>
            <w:r w:rsidR="0048660E">
              <w:t xml:space="preserve">used for Deduction #002; </w:t>
            </w:r>
            <w:r w:rsidR="000744A3">
              <w:t>for all other deduction numbe</w:t>
            </w:r>
            <w:r w:rsidR="004022F4">
              <w:t xml:space="preserve">rs </w:t>
            </w:r>
            <w:r w:rsidR="0048660E">
              <w:t xml:space="preserve">(003-008) the default code of </w:t>
            </w:r>
            <w:r w:rsidR="00447FB0">
              <w:t>“</w:t>
            </w:r>
            <w:r w:rsidR="0048660E">
              <w:t>000</w:t>
            </w:r>
            <w:r w:rsidR="00447FB0">
              <w:t>”</w:t>
            </w:r>
            <w:r w:rsidR="0048660E">
              <w:t xml:space="preserve"> will indicate that </w:t>
            </w:r>
            <w:r w:rsidR="004022F4">
              <w:t>the item</w:t>
            </w:r>
            <w:r w:rsidR="000744A3">
              <w:t xml:space="preserve"> is </w:t>
            </w:r>
            <w:r w:rsidR="004022F4">
              <w:t xml:space="preserve">a </w:t>
            </w:r>
            <w:r w:rsidR="000744A3">
              <w:t>Court Ordered Garnishment or Writ.</w:t>
            </w:r>
            <w:r w:rsidR="0048660E">
              <w:t xml:space="preserve">  If neither of those types </w:t>
            </w:r>
            <w:proofErr w:type="gramStart"/>
            <w:r w:rsidR="0048660E">
              <w:t>apply</w:t>
            </w:r>
            <w:proofErr w:type="gramEnd"/>
            <w:r w:rsidR="0048660E">
              <w:t xml:space="preserve"> please choose the appropriate code.</w:t>
            </w:r>
          </w:p>
          <w:p w:rsidR="00587CE0" w:rsidRDefault="00587CE0" w:rsidP="00692E83"/>
          <w:p w:rsidR="00587CE0" w:rsidRDefault="00587CE0" w:rsidP="00692E83">
            <w:pPr>
              <w:rPr>
                <w:b/>
              </w:rPr>
            </w:pPr>
            <w:r>
              <w:t xml:space="preserve">Note:  This code will not be </w:t>
            </w:r>
            <w:r w:rsidR="004022F4">
              <w:t xml:space="preserve">interfaced </w:t>
            </w:r>
            <w:r>
              <w:t xml:space="preserve">to CIPPS.  </w:t>
            </w:r>
            <w:r w:rsidR="004022F4">
              <w:t>Instead, t</w:t>
            </w:r>
            <w:r w:rsidR="000C11EA">
              <w:t>he code should be established manually on H0ZDC as described in the section entitled “</w:t>
            </w:r>
            <w:r w:rsidR="000C11EA">
              <w:rPr>
                <w:b/>
              </w:rPr>
              <w:t>Add the Involuntary Deduction to H0ZDC”.</w:t>
            </w:r>
          </w:p>
          <w:p w:rsidR="00E66DB8" w:rsidRDefault="00E66DB8" w:rsidP="00692E83">
            <w:pPr>
              <w:rPr>
                <w:b/>
              </w:rPr>
            </w:pPr>
          </w:p>
          <w:p w:rsidR="000C11EA" w:rsidRDefault="00F328A5" w:rsidP="00692E83">
            <w:pPr>
              <w:rPr>
                <w:b/>
              </w:rPr>
            </w:pPr>
            <w:r>
              <w:t>Line agencies that</w:t>
            </w:r>
            <w:r w:rsidR="00E66DB8">
              <w:t xml:space="preserve"> </w:t>
            </w:r>
            <w:r>
              <w:t>receive</w:t>
            </w:r>
            <w:r w:rsidR="00E66DB8">
              <w:t xml:space="preserve"> an order that does not </w:t>
            </w:r>
            <w:r w:rsidR="0048660E">
              <w:t xml:space="preserve">conform to </w:t>
            </w:r>
            <w:r w:rsidR="00E66DB8">
              <w:t>one of the available designations</w:t>
            </w:r>
            <w:r>
              <w:t xml:space="preserve"> should</w:t>
            </w:r>
            <w:r w:rsidR="00E66DB8">
              <w:t xml:space="preserve"> contact </w:t>
            </w:r>
            <w:r w:rsidR="0048660E">
              <w:t xml:space="preserve">State Payroll Ops </w:t>
            </w:r>
            <w:r w:rsidR="00E66DB8">
              <w:t>immediately.</w:t>
            </w:r>
          </w:p>
          <w:p w:rsidR="00611AA7" w:rsidRDefault="00611AA7" w:rsidP="00692E83"/>
          <w:tbl>
            <w:tblPr>
              <w:tblW w:w="7927" w:type="dxa"/>
              <w:jc w:val="center"/>
              <w:tblInd w:w="4689" w:type="dxa"/>
              <w:tblLayout w:type="fixed"/>
              <w:tblLook w:val="04A0" w:firstRow="1" w:lastRow="0" w:firstColumn="1" w:lastColumn="0" w:noHBand="0" w:noVBand="1"/>
            </w:tblPr>
            <w:tblGrid>
              <w:gridCol w:w="1444"/>
              <w:gridCol w:w="6483"/>
            </w:tblGrid>
            <w:tr w:rsidR="00E66DB8" w:rsidRPr="00E66DB8" w:rsidTr="00E66DB8">
              <w:trPr>
                <w:trHeight w:val="315"/>
                <w:jc w:val="center"/>
              </w:trPr>
              <w:tc>
                <w:tcPr>
                  <w:tcW w:w="1444" w:type="dxa"/>
                  <w:tcBorders>
                    <w:top w:val="single" w:sz="8" w:space="0" w:color="75A3D1"/>
                    <w:left w:val="single" w:sz="8" w:space="0" w:color="75A3D1"/>
                    <w:bottom w:val="single" w:sz="8" w:space="0" w:color="75A3D1"/>
                    <w:right w:val="single" w:sz="8" w:space="0" w:color="75A3D1"/>
                  </w:tcBorders>
                  <w:shd w:val="clear" w:color="000000" w:fill="FFFFFF"/>
                </w:tcPr>
                <w:p w:rsidR="00E66DB8" w:rsidRPr="00E66DB8" w:rsidRDefault="00E66DB8" w:rsidP="00E66DB8">
                  <w:pPr>
                    <w:jc w:val="center"/>
                    <w:rPr>
                      <w:rFonts w:ascii="Arial" w:hAnsi="Arial" w:cs="Arial"/>
                      <w:b/>
                      <w:color w:val="000000"/>
                      <w:szCs w:val="24"/>
                    </w:rPr>
                  </w:pPr>
                  <w:r w:rsidRPr="00E66DB8">
                    <w:rPr>
                      <w:rFonts w:ascii="Arial" w:hAnsi="Arial" w:cs="Arial"/>
                      <w:b/>
                      <w:color w:val="000000"/>
                      <w:szCs w:val="24"/>
                    </w:rPr>
                    <w:t>Record Type</w:t>
                  </w:r>
                </w:p>
              </w:tc>
              <w:tc>
                <w:tcPr>
                  <w:tcW w:w="6483" w:type="dxa"/>
                  <w:tcBorders>
                    <w:top w:val="single" w:sz="8" w:space="0" w:color="75A3D1"/>
                    <w:left w:val="nil"/>
                    <w:bottom w:val="single" w:sz="8" w:space="0" w:color="75A3D1"/>
                    <w:right w:val="single" w:sz="8" w:space="0" w:color="75A3D1"/>
                  </w:tcBorders>
                  <w:shd w:val="clear" w:color="000000" w:fill="FFFFFF"/>
                </w:tcPr>
                <w:p w:rsidR="00E66DB8" w:rsidRPr="00E66DB8" w:rsidRDefault="00E66DB8" w:rsidP="00E66DB8">
                  <w:pPr>
                    <w:jc w:val="center"/>
                    <w:rPr>
                      <w:rFonts w:ascii="Arial" w:hAnsi="Arial" w:cs="Arial"/>
                      <w:b/>
                      <w:color w:val="000000"/>
                      <w:szCs w:val="24"/>
                    </w:rPr>
                  </w:pPr>
                  <w:r w:rsidRPr="00E66DB8">
                    <w:rPr>
                      <w:rFonts w:ascii="Arial" w:hAnsi="Arial" w:cs="Arial"/>
                      <w:b/>
                      <w:color w:val="000000"/>
                      <w:szCs w:val="24"/>
                    </w:rPr>
                    <w:t>Designation</w:t>
                  </w:r>
                </w:p>
              </w:tc>
            </w:tr>
            <w:tr w:rsidR="000C11EA" w:rsidRPr="00061A39" w:rsidTr="00E66DB8">
              <w:trPr>
                <w:trHeight w:val="315"/>
                <w:jc w:val="center"/>
              </w:trPr>
              <w:tc>
                <w:tcPr>
                  <w:tcW w:w="1444" w:type="dxa"/>
                  <w:tcBorders>
                    <w:top w:val="single" w:sz="8" w:space="0" w:color="75A3D1"/>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000</w:t>
                  </w:r>
                </w:p>
              </w:tc>
              <w:tc>
                <w:tcPr>
                  <w:tcW w:w="6483" w:type="dxa"/>
                  <w:tcBorders>
                    <w:top w:val="single" w:sz="8" w:space="0" w:color="75A3D1"/>
                    <w:left w:val="nil"/>
                    <w:bottom w:val="single" w:sz="8" w:space="0" w:color="75A3D1"/>
                    <w:right w:val="single" w:sz="8" w:space="0" w:color="75A3D1"/>
                  </w:tcBorders>
                  <w:shd w:val="clear" w:color="000000" w:fill="FFFFFF"/>
                  <w:hideMark/>
                </w:tcPr>
                <w:p w:rsidR="000C11EA" w:rsidRPr="00061A39" w:rsidRDefault="000C11EA" w:rsidP="00E66DB8">
                  <w:pPr>
                    <w:rPr>
                      <w:rFonts w:ascii="Arial" w:hAnsi="Arial" w:cs="Arial"/>
                      <w:color w:val="000000"/>
                      <w:sz w:val="16"/>
                      <w:szCs w:val="16"/>
                    </w:rPr>
                  </w:pPr>
                  <w:r w:rsidRPr="00061A39">
                    <w:rPr>
                      <w:rFonts w:ascii="Arial" w:hAnsi="Arial" w:cs="Arial"/>
                      <w:color w:val="000000"/>
                      <w:sz w:val="16"/>
                      <w:szCs w:val="16"/>
                    </w:rPr>
                    <w:t>DEDUCTION DEFAULT (</w:t>
                  </w:r>
                  <w:r w:rsidR="00E66DB8">
                    <w:rPr>
                      <w:rFonts w:ascii="Arial" w:hAnsi="Arial" w:cs="Arial"/>
                      <w:color w:val="000000"/>
                      <w:sz w:val="16"/>
                      <w:szCs w:val="16"/>
                    </w:rPr>
                    <w:t xml:space="preserve"> CHILD SUPPORT </w:t>
                  </w:r>
                  <w:r w:rsidRPr="00061A39">
                    <w:rPr>
                      <w:rFonts w:ascii="Arial" w:hAnsi="Arial" w:cs="Arial"/>
                      <w:color w:val="000000"/>
                      <w:sz w:val="16"/>
                      <w:szCs w:val="16"/>
                    </w:rPr>
                    <w:t>OR COURT ORDERED GARNISHMENT)</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020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DEPENDENT SUPPORT</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030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SPOUSAL SUPPORT</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110</w:t>
                  </w:r>
                  <w:r>
                    <w:rPr>
                      <w:rFonts w:ascii="Arial" w:hAnsi="Arial" w:cs="Arial"/>
                      <w:color w:val="000000"/>
                      <w:sz w:val="16"/>
                      <w:szCs w:val="16"/>
                    </w:rPr>
                    <w:t>-186</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 xml:space="preserve">FEDERAL LEVY </w:t>
                  </w:r>
                  <w:r>
                    <w:rPr>
                      <w:rFonts w:ascii="Arial" w:hAnsi="Arial" w:cs="Arial"/>
                      <w:color w:val="000000"/>
                      <w:sz w:val="16"/>
                      <w:szCs w:val="16"/>
                    </w:rPr>
                    <w:t>–</w:t>
                  </w:r>
                  <w:r w:rsidRPr="00061A39">
                    <w:rPr>
                      <w:rFonts w:ascii="Arial" w:hAnsi="Arial" w:cs="Arial"/>
                      <w:color w:val="000000"/>
                      <w:sz w:val="16"/>
                      <w:szCs w:val="16"/>
                    </w:rPr>
                    <w:t xml:space="preserve"> </w:t>
                  </w:r>
                  <w:r>
                    <w:rPr>
                      <w:rFonts w:ascii="Arial" w:hAnsi="Arial" w:cs="Arial"/>
                      <w:color w:val="000000"/>
                      <w:sz w:val="16"/>
                      <w:szCs w:val="16"/>
                    </w:rPr>
                    <w:t xml:space="preserve">REVIEW THE COMPLETE OPTIONS IN THE PAYLINE UTILITY.  CODES ARE BASED ON PUBLICATION 1494 REQUIREMENTS. </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195</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BANKRUPTCY</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210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STUDENT LOAN</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220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STUDENT LOAN HARDSHIP</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230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SOCIAL SECURITY NON TAX ADMINISTRATIVE WAGE GARNISHMENT</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240</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STATE OR LOCAL TAX LEIN</w:t>
                  </w:r>
                </w:p>
              </w:tc>
            </w:tr>
            <w:tr w:rsidR="000C11EA" w:rsidRPr="00061A39" w:rsidTr="00E66DB8">
              <w:trPr>
                <w:trHeight w:val="315"/>
                <w:jc w:val="center"/>
              </w:trPr>
              <w:tc>
                <w:tcPr>
                  <w:tcW w:w="1444" w:type="dxa"/>
                  <w:tcBorders>
                    <w:top w:val="nil"/>
                    <w:left w:val="single" w:sz="8" w:space="0" w:color="75A3D1"/>
                    <w:bottom w:val="single" w:sz="8" w:space="0" w:color="75A3D1"/>
                    <w:right w:val="single" w:sz="8" w:space="0" w:color="75A3D1"/>
                  </w:tcBorders>
                  <w:shd w:val="clear" w:color="000000" w:fill="FFFFFF"/>
                  <w:hideMark/>
                </w:tcPr>
                <w:p w:rsidR="000C11EA" w:rsidRPr="00061A39" w:rsidRDefault="000C11EA" w:rsidP="00E13488">
                  <w:pPr>
                    <w:jc w:val="center"/>
                    <w:rPr>
                      <w:rFonts w:ascii="Arial" w:hAnsi="Arial" w:cs="Arial"/>
                      <w:color w:val="000000"/>
                      <w:sz w:val="16"/>
                      <w:szCs w:val="16"/>
                    </w:rPr>
                  </w:pPr>
                  <w:r w:rsidRPr="00061A39">
                    <w:rPr>
                      <w:rFonts w:ascii="Arial" w:hAnsi="Arial" w:cs="Arial"/>
                      <w:color w:val="000000"/>
                      <w:sz w:val="16"/>
                      <w:szCs w:val="16"/>
                    </w:rPr>
                    <w:t>241</w:t>
                  </w:r>
                </w:p>
              </w:tc>
              <w:tc>
                <w:tcPr>
                  <w:tcW w:w="6483" w:type="dxa"/>
                  <w:tcBorders>
                    <w:top w:val="nil"/>
                    <w:left w:val="nil"/>
                    <w:bottom w:val="single" w:sz="8" w:space="0" w:color="75A3D1"/>
                    <w:right w:val="single" w:sz="8" w:space="0" w:color="75A3D1"/>
                  </w:tcBorders>
                  <w:shd w:val="clear" w:color="000000" w:fill="FFFFFF"/>
                  <w:hideMark/>
                </w:tcPr>
                <w:p w:rsidR="000C11EA" w:rsidRPr="00061A39" w:rsidRDefault="000C11EA" w:rsidP="00E13488">
                  <w:pPr>
                    <w:rPr>
                      <w:rFonts w:ascii="Arial" w:hAnsi="Arial" w:cs="Arial"/>
                      <w:color w:val="000000"/>
                      <w:sz w:val="16"/>
                      <w:szCs w:val="16"/>
                    </w:rPr>
                  </w:pPr>
                  <w:r w:rsidRPr="00061A39">
                    <w:rPr>
                      <w:rFonts w:ascii="Arial" w:hAnsi="Arial" w:cs="Arial"/>
                      <w:color w:val="000000"/>
                      <w:sz w:val="16"/>
                      <w:szCs w:val="16"/>
                    </w:rPr>
                    <w:t>STATE OR LOCAL TAX LEIN - HARDSHIP</w:t>
                  </w:r>
                </w:p>
              </w:tc>
            </w:tr>
          </w:tbl>
          <w:p w:rsidR="00611AA7" w:rsidRPr="00611AA7" w:rsidRDefault="00611AA7" w:rsidP="00611AA7">
            <w:pPr>
              <w:ind w:left="720"/>
            </w:pPr>
          </w:p>
        </w:tc>
      </w:tr>
    </w:tbl>
    <w:p w:rsidR="000C11EA" w:rsidRDefault="000C11EA" w:rsidP="000C11EA"/>
    <w:p w:rsidR="000C11EA" w:rsidRPr="00641EF9" w:rsidRDefault="00641EF9" w:rsidP="00641EF9">
      <w:pPr>
        <w:pStyle w:val="BlockLine"/>
        <w:ind w:left="1620"/>
        <w:jc w:val="right"/>
        <w:rPr>
          <w:i/>
          <w:sz w:val="20"/>
        </w:rPr>
      </w:pPr>
      <w:r>
        <w:rPr>
          <w:i/>
          <w:sz w:val="20"/>
        </w:rPr>
        <w:t>Continued on next page</w:t>
      </w:r>
    </w:p>
    <w:p w:rsidR="001439EF" w:rsidRDefault="001439EF" w:rsidP="001439EF">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1439EF" w:rsidRPr="00C50FDD" w:rsidRDefault="001439EF" w:rsidP="001439EF">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920845" w:rsidRPr="00C61BA4" w:rsidTr="000E221D">
        <w:trPr>
          <w:cantSplit/>
        </w:trPr>
        <w:tc>
          <w:tcPr>
            <w:tcW w:w="1728" w:type="dxa"/>
          </w:tcPr>
          <w:p w:rsidR="00920845" w:rsidRPr="00C80C77" w:rsidRDefault="00920845" w:rsidP="000E221D">
            <w:pPr>
              <w:rPr>
                <w:b/>
              </w:rPr>
            </w:pPr>
            <w:r>
              <w:rPr>
                <w:b/>
              </w:rPr>
              <w:t xml:space="preserve">Field Entry for the Garnishment Maintenance -Add Record Screen, </w:t>
            </w:r>
            <w:r w:rsidRPr="00EF05D4">
              <w:rPr>
                <w:i/>
              </w:rPr>
              <w:t>continued</w:t>
            </w:r>
          </w:p>
        </w:tc>
        <w:tc>
          <w:tcPr>
            <w:tcW w:w="8460" w:type="dxa"/>
          </w:tcPr>
          <w:p w:rsidR="002F11E9" w:rsidRPr="00134B78" w:rsidRDefault="00920845" w:rsidP="00920845">
            <w:pPr>
              <w:rPr>
                <w:b/>
              </w:rPr>
            </w:pPr>
            <w:r>
              <w:rPr>
                <w:b/>
              </w:rPr>
              <w:t xml:space="preserve">Case Number: </w:t>
            </w:r>
            <w:r>
              <w:t xml:space="preserve">This field is optional.  </w:t>
            </w:r>
            <w:r w:rsidR="00591651">
              <w:t>T</w:t>
            </w:r>
            <w:r>
              <w:t xml:space="preserve">his 20 character field </w:t>
            </w:r>
            <w:r w:rsidR="00591651">
              <w:t xml:space="preserve">may be used </w:t>
            </w:r>
            <w:r w:rsidR="002F11E9">
              <w:t xml:space="preserve">to print required information on the check such as the case number referenced on the order.  This information will print on the check </w:t>
            </w:r>
            <w:r w:rsidR="004022F4">
              <w:t xml:space="preserve">face </w:t>
            </w:r>
            <w:r w:rsidR="002F11E9">
              <w:t xml:space="preserve">only.  It will not appear on the outside of the self-sealed mailer.  </w:t>
            </w:r>
            <w:r w:rsidR="002F11E9" w:rsidRPr="00134B78">
              <w:rPr>
                <w:b/>
              </w:rPr>
              <w:t>DO NOT INCLUDE SOCIAL SECURITY NUMBERS.</w:t>
            </w:r>
          </w:p>
          <w:p w:rsidR="002F11E9" w:rsidRDefault="002F11E9" w:rsidP="00920845"/>
          <w:p w:rsidR="00920845" w:rsidRDefault="002F11E9" w:rsidP="002F11E9">
            <w:r>
              <w:rPr>
                <w:b/>
              </w:rPr>
              <w:t xml:space="preserve">Case Name: </w:t>
            </w:r>
            <w:r>
              <w:t>This field</w:t>
            </w:r>
            <w:r w:rsidR="00920845">
              <w:t xml:space="preserve"> </w:t>
            </w:r>
            <w:r>
              <w:t xml:space="preserve">is optional.  </w:t>
            </w:r>
            <w:r w:rsidR="00591651">
              <w:t>T</w:t>
            </w:r>
            <w:r>
              <w:t xml:space="preserve">his 30 character field </w:t>
            </w:r>
            <w:r w:rsidR="00591651">
              <w:t xml:space="preserve">may be used </w:t>
            </w:r>
            <w:r>
              <w:t>to print required information on the check such as the return date and</w:t>
            </w:r>
            <w:r w:rsidR="00591651">
              <w:t>/or</w:t>
            </w:r>
            <w:r>
              <w:t xml:space="preserve"> the employee name. This information will print on the check</w:t>
            </w:r>
            <w:r w:rsidR="004022F4">
              <w:t xml:space="preserve"> face</w:t>
            </w:r>
            <w:r>
              <w:t xml:space="preserve"> only.  It will not appear on the outside of the self-sealed mailer. </w:t>
            </w:r>
            <w:r w:rsidRPr="00134B78">
              <w:rPr>
                <w:b/>
              </w:rPr>
              <w:t>DO NOT INCLUDE SOCIAL SECURITY NUMBERS</w:t>
            </w:r>
            <w:r>
              <w:t>.</w:t>
            </w:r>
          </w:p>
          <w:p w:rsidR="002F11E9" w:rsidRPr="009C1F76" w:rsidRDefault="002F11E9" w:rsidP="002F11E9">
            <w:pPr>
              <w:rPr>
                <w:sz w:val="16"/>
                <w:szCs w:val="16"/>
              </w:rPr>
            </w:pPr>
          </w:p>
          <w:p w:rsidR="002F11E9" w:rsidRDefault="00155CA4" w:rsidP="002F11E9">
            <w:r>
              <w:rPr>
                <w:b/>
              </w:rPr>
              <w:t xml:space="preserve">Vendor/Payee Search:  </w:t>
            </w:r>
            <w:r>
              <w:t xml:space="preserve">Begin typing </w:t>
            </w:r>
            <w:r w:rsidR="00FF34AA">
              <w:t xml:space="preserve">the </w:t>
            </w:r>
            <w:r>
              <w:t xml:space="preserve">name </w:t>
            </w:r>
            <w:r w:rsidR="00FF34AA">
              <w:t xml:space="preserve">of the </w:t>
            </w:r>
            <w:r w:rsidR="004C682C">
              <w:t xml:space="preserve">desired </w:t>
            </w:r>
            <w:r w:rsidR="00FF34AA">
              <w:t xml:space="preserve">entity to </w:t>
            </w:r>
            <w:r>
              <w:t xml:space="preserve">receive a list of </w:t>
            </w:r>
            <w:r w:rsidR="00FF34AA">
              <w:t>available entities</w:t>
            </w:r>
            <w:r>
              <w:t xml:space="preserve"> in the selection box on the right.</w:t>
            </w:r>
          </w:p>
          <w:p w:rsidR="00155CA4" w:rsidRPr="009C1F76" w:rsidRDefault="00155CA4" w:rsidP="002F11E9">
            <w:pPr>
              <w:rPr>
                <w:sz w:val="16"/>
                <w:szCs w:val="16"/>
              </w:rPr>
            </w:pPr>
          </w:p>
          <w:p w:rsidR="00FF34AA" w:rsidRDefault="00155CA4" w:rsidP="002F11E9">
            <w:r>
              <w:t xml:space="preserve">“Vendor Name” is the name of the entity who is receiving the check.  The address information is </w:t>
            </w:r>
            <w:r w:rsidR="004022F4">
              <w:t>unique</w:t>
            </w:r>
            <w:r>
              <w:t xml:space="preserve"> to the “Vendor Name”.  </w:t>
            </w:r>
          </w:p>
          <w:p w:rsidR="00FF34AA" w:rsidRPr="009C1F76" w:rsidRDefault="00FF34AA" w:rsidP="002F11E9">
            <w:pPr>
              <w:rPr>
                <w:sz w:val="16"/>
                <w:szCs w:val="16"/>
              </w:rPr>
            </w:pPr>
          </w:p>
          <w:p w:rsidR="00FF34AA" w:rsidRDefault="00FF34AA" w:rsidP="002F11E9">
            <w:r>
              <w:t>“Payee Name” is the name of the entity to whom the check is payable.  “Payee Name” is only required if the check will be made payable to an entity other than the vendor who is receiving the check.</w:t>
            </w:r>
          </w:p>
          <w:p w:rsidR="00FF34AA" w:rsidRPr="009C1F76" w:rsidRDefault="00FF34AA" w:rsidP="002F11E9">
            <w:pPr>
              <w:rPr>
                <w:sz w:val="16"/>
                <w:szCs w:val="16"/>
              </w:rPr>
            </w:pPr>
          </w:p>
          <w:p w:rsidR="00FF34AA" w:rsidRDefault="00FF34AA" w:rsidP="002F11E9">
            <w:r>
              <w:t xml:space="preserve">For example, an order </w:t>
            </w:r>
            <w:r w:rsidR="004C682C">
              <w:t xml:space="preserve">is received </w:t>
            </w:r>
            <w:r>
              <w:t xml:space="preserve">with instructions to mail the check to “Richmond General District Court” and make the check payable to “ACME Company”.  In this case “Richmond </w:t>
            </w:r>
            <w:r w:rsidR="00591651">
              <w:t>General District Court” is the V</w:t>
            </w:r>
            <w:r>
              <w:t xml:space="preserve">endor </w:t>
            </w:r>
            <w:r w:rsidR="00591651">
              <w:t>N</w:t>
            </w:r>
            <w:r>
              <w:t>ame and “ACME Company” is the Payee Name.</w:t>
            </w:r>
          </w:p>
          <w:p w:rsidR="00FF34AA" w:rsidRPr="009C1F76" w:rsidRDefault="00FF34AA" w:rsidP="002F11E9">
            <w:pPr>
              <w:rPr>
                <w:sz w:val="16"/>
                <w:szCs w:val="16"/>
              </w:rPr>
            </w:pPr>
          </w:p>
          <w:p w:rsidR="00FF34AA" w:rsidRDefault="004C682C" w:rsidP="002F11E9">
            <w:r>
              <w:t>In a</w:t>
            </w:r>
            <w:r w:rsidR="00FF34AA">
              <w:t xml:space="preserve">nother example, </w:t>
            </w:r>
            <w:r>
              <w:t>an order is received for</w:t>
            </w:r>
            <w:r w:rsidR="00FF34AA">
              <w:t xml:space="preserve"> a tax lien from the “City of Richmond”.  The lien instructs you to mail the check to the “City of Richmond” and make the check payable to the “City of Richmond”.  In this case “City of Richmond” is the Vendor Name and there is no need for a Payee Name.</w:t>
            </w:r>
          </w:p>
          <w:p w:rsidR="00FF34AA" w:rsidRPr="009C1F76" w:rsidRDefault="00FF34AA" w:rsidP="002F11E9">
            <w:pPr>
              <w:rPr>
                <w:sz w:val="16"/>
                <w:szCs w:val="16"/>
              </w:rPr>
            </w:pPr>
          </w:p>
          <w:p w:rsidR="00B35D72" w:rsidRDefault="00B35D72" w:rsidP="002F11E9">
            <w:r>
              <w:t>Begin typing “Richmond” in the Vendor/Payee Search field to get a list of all Vendor and Payee Names that contain the word “Richmond”</w:t>
            </w:r>
            <w:r w:rsidR="000D580C">
              <w:t>:</w:t>
            </w:r>
          </w:p>
          <w:p w:rsidR="00FF34AA" w:rsidRPr="009C1F76" w:rsidRDefault="00FF34AA" w:rsidP="002F11E9">
            <w:pPr>
              <w:rPr>
                <w:sz w:val="16"/>
                <w:szCs w:val="16"/>
              </w:rPr>
            </w:pPr>
          </w:p>
          <w:p w:rsidR="00FF34AA" w:rsidRPr="00155CA4" w:rsidRDefault="00155CA4" w:rsidP="001439EF">
            <w:r>
              <w:rPr>
                <w:noProof/>
              </w:rPr>
              <w:drawing>
                <wp:inline distT="0" distB="0" distL="0" distR="0" wp14:anchorId="21954ABC" wp14:editId="7760D5C7">
                  <wp:extent cx="4733925" cy="207526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34802" cy="2075645"/>
                          </a:xfrm>
                          <a:prstGeom prst="rect">
                            <a:avLst/>
                          </a:prstGeom>
                        </pic:spPr>
                      </pic:pic>
                    </a:graphicData>
                  </a:graphic>
                </wp:inline>
              </w:drawing>
            </w:r>
          </w:p>
        </w:tc>
      </w:tr>
    </w:tbl>
    <w:p w:rsidR="00920845" w:rsidRDefault="009C1F76" w:rsidP="009C1F76">
      <w:pPr>
        <w:pStyle w:val="BlockLine"/>
        <w:ind w:left="1620"/>
        <w:jc w:val="right"/>
        <w:rPr>
          <w:i/>
          <w:sz w:val="20"/>
        </w:rPr>
      </w:pPr>
      <w:r>
        <w:rPr>
          <w:i/>
          <w:sz w:val="20"/>
        </w:rPr>
        <w:t>Continued on next page</w:t>
      </w:r>
    </w:p>
    <w:p w:rsidR="00FA30C0" w:rsidRDefault="00FA30C0" w:rsidP="00FA30C0"/>
    <w:p w:rsidR="00FA30C0" w:rsidRDefault="00FA30C0" w:rsidP="00FA30C0"/>
    <w:p w:rsidR="00FA30C0" w:rsidRDefault="00FA30C0" w:rsidP="00FA30C0">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FA30C0" w:rsidRPr="00C50FDD" w:rsidRDefault="00FA30C0" w:rsidP="00FA30C0">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0D580C" w:rsidRPr="00C61BA4" w:rsidTr="000E221D">
        <w:trPr>
          <w:cantSplit/>
        </w:trPr>
        <w:tc>
          <w:tcPr>
            <w:tcW w:w="1728" w:type="dxa"/>
          </w:tcPr>
          <w:p w:rsidR="000D580C" w:rsidRPr="00C80C77" w:rsidRDefault="000D580C" w:rsidP="000E221D">
            <w:pPr>
              <w:rPr>
                <w:b/>
              </w:rPr>
            </w:pPr>
            <w:r>
              <w:rPr>
                <w:b/>
              </w:rPr>
              <w:t xml:space="preserve">Field Entry for the Garnishment Maintenance -Add Record Screen, </w:t>
            </w:r>
            <w:r w:rsidRPr="00EF05D4">
              <w:rPr>
                <w:i/>
              </w:rPr>
              <w:t>continued</w:t>
            </w:r>
          </w:p>
        </w:tc>
        <w:tc>
          <w:tcPr>
            <w:tcW w:w="8460" w:type="dxa"/>
          </w:tcPr>
          <w:p w:rsidR="000D580C" w:rsidRDefault="000D580C" w:rsidP="000D580C">
            <w:r>
              <w:t>Begin typing “ACME” in the Vendor/Payee Search field to get a list of all Vendor and Payee Names that contain the word “ACME”:</w:t>
            </w:r>
          </w:p>
          <w:p w:rsidR="000D580C" w:rsidRDefault="000D580C" w:rsidP="000D580C">
            <w:r>
              <w:rPr>
                <w:noProof/>
              </w:rPr>
              <w:drawing>
                <wp:inline distT="0" distB="0" distL="0" distR="0" wp14:anchorId="50CC9B7F" wp14:editId="547648A7">
                  <wp:extent cx="4581525" cy="11906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81525" cy="1190625"/>
                          </a:xfrm>
                          <a:prstGeom prst="rect">
                            <a:avLst/>
                          </a:prstGeom>
                        </pic:spPr>
                      </pic:pic>
                    </a:graphicData>
                  </a:graphic>
                </wp:inline>
              </w:drawing>
            </w:r>
          </w:p>
          <w:p w:rsidR="000D580C" w:rsidRPr="000E74D7" w:rsidRDefault="000D580C" w:rsidP="000D580C">
            <w:pPr>
              <w:rPr>
                <w:sz w:val="16"/>
                <w:szCs w:val="16"/>
              </w:rPr>
            </w:pPr>
          </w:p>
          <w:p w:rsidR="000D580C" w:rsidRDefault="000D580C" w:rsidP="000D580C">
            <w:r>
              <w:t xml:space="preserve">Double click the desired Vendor/Payee combination on the right hand side of the screen to populate the relative fields on the form.  </w:t>
            </w:r>
            <w:r w:rsidR="006F3025">
              <w:t>Notice</w:t>
            </w:r>
            <w:r>
              <w:t xml:space="preserve"> that address is </w:t>
            </w:r>
            <w:r w:rsidR="006F3025">
              <w:t>automatically provided</w:t>
            </w:r>
            <w:r>
              <w:t xml:space="preserve"> for the selected vendor.</w:t>
            </w:r>
          </w:p>
          <w:p w:rsidR="000D580C" w:rsidRPr="000E74D7" w:rsidRDefault="000D580C" w:rsidP="000D580C">
            <w:pPr>
              <w:rPr>
                <w:sz w:val="16"/>
                <w:szCs w:val="16"/>
              </w:rPr>
            </w:pPr>
          </w:p>
          <w:p w:rsidR="000D580C" w:rsidRPr="00D417A9" w:rsidRDefault="000754DD" w:rsidP="000D580C">
            <w:r>
              <w:rPr>
                <w:noProof/>
              </w:rPr>
              <w:drawing>
                <wp:inline distT="0" distB="0" distL="0" distR="0">
                  <wp:extent cx="5314950" cy="2588983"/>
                  <wp:effectExtent l="0" t="0" r="0" b="1905"/>
                  <wp:docPr id="3" name="Picture 3" descr="cid:image001.png@01D2D585.9881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585.9881DD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14950" cy="2588983"/>
                          </a:xfrm>
                          <a:prstGeom prst="rect">
                            <a:avLst/>
                          </a:prstGeom>
                          <a:noFill/>
                          <a:ln>
                            <a:noFill/>
                          </a:ln>
                        </pic:spPr>
                      </pic:pic>
                    </a:graphicData>
                  </a:graphic>
                </wp:inline>
              </w:drawing>
            </w:r>
          </w:p>
        </w:tc>
      </w:tr>
      <w:tr w:rsidR="000D580C" w:rsidRPr="00C61BA4" w:rsidTr="000E221D">
        <w:trPr>
          <w:cantSplit/>
        </w:trPr>
        <w:tc>
          <w:tcPr>
            <w:tcW w:w="1728" w:type="dxa"/>
          </w:tcPr>
          <w:p w:rsidR="000D580C" w:rsidRDefault="000D580C" w:rsidP="000E221D">
            <w:pPr>
              <w:rPr>
                <w:b/>
              </w:rPr>
            </w:pPr>
          </w:p>
          <w:p w:rsidR="000D580C" w:rsidRDefault="000D580C" w:rsidP="000E221D">
            <w:pPr>
              <w:rPr>
                <w:b/>
              </w:rPr>
            </w:pPr>
          </w:p>
        </w:tc>
        <w:tc>
          <w:tcPr>
            <w:tcW w:w="8460" w:type="dxa"/>
          </w:tcPr>
          <w:p w:rsidR="000D580C" w:rsidRDefault="000D580C" w:rsidP="000D580C"/>
          <w:p w:rsidR="00086849" w:rsidRDefault="00086849" w:rsidP="000D580C">
            <w:r>
              <w:t>Click “Accept” at the top of the form to add the record.</w:t>
            </w:r>
          </w:p>
          <w:p w:rsidR="00086849" w:rsidRPr="000C380F" w:rsidRDefault="00086849" w:rsidP="000D580C">
            <w:pPr>
              <w:rPr>
                <w:sz w:val="16"/>
                <w:szCs w:val="16"/>
              </w:rPr>
            </w:pPr>
          </w:p>
          <w:p w:rsidR="0052144B" w:rsidRDefault="000D580C" w:rsidP="0052144B">
            <w:r>
              <w:t xml:space="preserve">If the appropriate </w:t>
            </w:r>
            <w:r w:rsidR="00451720">
              <w:t>Vendor/Payee combination</w:t>
            </w:r>
            <w:r w:rsidR="006F3025">
              <w:t xml:space="preserve"> is not found</w:t>
            </w:r>
            <w:r w:rsidR="00451720">
              <w:t xml:space="preserve">, or the address listed is not correct, </w:t>
            </w:r>
            <w:r w:rsidR="00F22723">
              <w:t>complete the “</w:t>
            </w:r>
            <w:hyperlink r:id="rId24" w:history="1">
              <w:r w:rsidR="0052144B" w:rsidRPr="0052144B">
                <w:rPr>
                  <w:rStyle w:val="Hyperlink"/>
                </w:rPr>
                <w:t>Request to Add Garnishment Vendor/Payee Form</w:t>
              </w:r>
            </w:hyperlink>
            <w:r w:rsidR="00F22723">
              <w:t xml:space="preserve">” found on </w:t>
            </w:r>
            <w:r w:rsidR="00FA30C0">
              <w:t xml:space="preserve">the DOA </w:t>
            </w:r>
            <w:r w:rsidR="00F22723">
              <w:t>website</w:t>
            </w:r>
            <w:r w:rsidR="0052144B">
              <w:t xml:space="preserve"> at: </w:t>
            </w:r>
            <w:r w:rsidR="00F22723">
              <w:t xml:space="preserve"> </w:t>
            </w:r>
          </w:p>
          <w:p w:rsidR="0052144B" w:rsidRPr="000C380F" w:rsidRDefault="0052144B" w:rsidP="0052144B">
            <w:pPr>
              <w:rPr>
                <w:sz w:val="16"/>
                <w:szCs w:val="16"/>
              </w:rPr>
            </w:pPr>
          </w:p>
          <w:p w:rsidR="00F22723" w:rsidRDefault="00090B72" w:rsidP="0052144B">
            <w:hyperlink r:id="rId25" w:history="1">
              <w:r w:rsidR="0052144B" w:rsidRPr="00CF1BC1">
                <w:rPr>
                  <w:rStyle w:val="Hyperlink"/>
                </w:rPr>
                <w:t>http://www.doa.virginia.gov/Payroll/Forms/GarnishmentVendorRequestForm.xlsx</w:t>
              </w:r>
            </w:hyperlink>
            <w:r w:rsidR="0052144B">
              <w:t xml:space="preserve"> </w:t>
            </w:r>
          </w:p>
          <w:p w:rsidR="00F22723" w:rsidRPr="000E74D7" w:rsidRDefault="00F22723" w:rsidP="000D580C">
            <w:pPr>
              <w:rPr>
                <w:sz w:val="16"/>
                <w:szCs w:val="16"/>
              </w:rPr>
            </w:pPr>
          </w:p>
          <w:p w:rsidR="00F22723" w:rsidRDefault="00F22723" w:rsidP="000D580C">
            <w:r>
              <w:t xml:space="preserve">Fill in the required fields on the spreadsheet and email it to </w:t>
            </w:r>
            <w:hyperlink r:id="rId26" w:history="1">
              <w:r w:rsidRPr="002F2220">
                <w:rPr>
                  <w:rStyle w:val="Hyperlink"/>
                </w:rPr>
                <w:t>payroll@doa.virginia.gov</w:t>
              </w:r>
            </w:hyperlink>
            <w:r>
              <w:t xml:space="preserve"> when complete.  State Payroll Operations will review the request and inform </w:t>
            </w:r>
            <w:r w:rsidR="006F3025">
              <w:t>the specified contact</w:t>
            </w:r>
            <w:r>
              <w:t xml:space="preserve"> </w:t>
            </w:r>
            <w:r w:rsidR="00086849">
              <w:t xml:space="preserve">on the </w:t>
            </w:r>
            <w:r w:rsidR="00B423B0">
              <w:t>same day</w:t>
            </w:r>
            <w:r>
              <w:t xml:space="preserve"> of the action taken so that there are no interruptions to garnishment processing.</w:t>
            </w:r>
          </w:p>
          <w:p w:rsidR="00F22723" w:rsidRPr="000E74D7" w:rsidRDefault="00F22723" w:rsidP="000D580C">
            <w:pPr>
              <w:rPr>
                <w:sz w:val="16"/>
                <w:szCs w:val="16"/>
              </w:rPr>
            </w:pPr>
          </w:p>
          <w:p w:rsidR="00F22723" w:rsidRPr="00FA30C0" w:rsidRDefault="00FA30C0" w:rsidP="00FA30C0">
            <w:pPr>
              <w:rPr>
                <w:b/>
              </w:rPr>
            </w:pPr>
            <w:r w:rsidRPr="00FA30C0">
              <w:rPr>
                <w:b/>
              </w:rPr>
              <w:t xml:space="preserve">NOTE:  </w:t>
            </w:r>
            <w:r w:rsidR="00B423B0" w:rsidRPr="00FA30C0">
              <w:rPr>
                <w:b/>
              </w:rPr>
              <w:t xml:space="preserve">Forms received </w:t>
            </w:r>
            <w:r>
              <w:rPr>
                <w:b/>
              </w:rPr>
              <w:t xml:space="preserve">by DOA </w:t>
            </w:r>
            <w:r w:rsidR="00B423B0" w:rsidRPr="00FA30C0">
              <w:rPr>
                <w:b/>
              </w:rPr>
              <w:t>after 1:30 pm may not be processed in time to meet the 2 pm deadline for CIPPS processing.</w:t>
            </w:r>
            <w:r>
              <w:rPr>
                <w:b/>
              </w:rPr>
              <w:t xml:space="preserve">  Requests for adding Vendors/Payees should be submitted as early as possible.</w:t>
            </w:r>
          </w:p>
        </w:tc>
      </w:tr>
    </w:tbl>
    <w:p w:rsidR="00D859B1" w:rsidRDefault="000E74D7" w:rsidP="000E74D7">
      <w:pPr>
        <w:pStyle w:val="BlockLine"/>
        <w:ind w:left="1620"/>
        <w:jc w:val="right"/>
        <w:rPr>
          <w:i/>
          <w:sz w:val="20"/>
        </w:rPr>
      </w:pPr>
      <w:r>
        <w:rPr>
          <w:i/>
          <w:sz w:val="20"/>
        </w:rPr>
        <w:t>Continued on next page</w:t>
      </w:r>
    </w:p>
    <w:p w:rsidR="002747F1" w:rsidRDefault="002747F1" w:rsidP="002747F1">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2747F1" w:rsidRPr="00C50FDD" w:rsidRDefault="002747F1" w:rsidP="002747F1">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D859B1" w:rsidRPr="00C61BA4" w:rsidTr="007402EE">
        <w:trPr>
          <w:cantSplit/>
        </w:trPr>
        <w:tc>
          <w:tcPr>
            <w:tcW w:w="1728" w:type="dxa"/>
          </w:tcPr>
          <w:p w:rsidR="00D859B1" w:rsidRPr="00C80C77" w:rsidRDefault="00D859B1" w:rsidP="00010FD4">
            <w:pPr>
              <w:rPr>
                <w:b/>
              </w:rPr>
            </w:pPr>
            <w:r>
              <w:rPr>
                <w:b/>
              </w:rPr>
              <w:t xml:space="preserve">Editing an Existing </w:t>
            </w:r>
            <w:r w:rsidR="00871E86">
              <w:rPr>
                <w:b/>
              </w:rPr>
              <w:t>Record</w:t>
            </w:r>
            <w:r w:rsidR="00010FD4">
              <w:rPr>
                <w:b/>
              </w:rPr>
              <w:t xml:space="preserve"> (Garnishment Maintenance-  Edit Record Screen)</w:t>
            </w:r>
          </w:p>
        </w:tc>
        <w:tc>
          <w:tcPr>
            <w:tcW w:w="8460" w:type="dxa"/>
          </w:tcPr>
          <w:p w:rsidR="007402EE" w:rsidRDefault="00086849" w:rsidP="000E221D">
            <w:r>
              <w:t xml:space="preserve">To edit an existing record, return to the “Garnishment Maintenance” Screen.  All records for </w:t>
            </w:r>
            <w:r w:rsidR="006C2EAF">
              <w:t xml:space="preserve">the </w:t>
            </w:r>
            <w:r>
              <w:t>agency number sel</w:t>
            </w:r>
            <w:r w:rsidR="00DB3265">
              <w:t>e</w:t>
            </w:r>
            <w:r>
              <w:t>cted in the drop down box are automatically displayed.</w:t>
            </w:r>
          </w:p>
          <w:p w:rsidR="00086849" w:rsidRDefault="00086849" w:rsidP="000E221D"/>
          <w:p w:rsidR="00086849" w:rsidRDefault="004E25C9" w:rsidP="000E221D">
            <w:r>
              <w:rPr>
                <w:noProof/>
              </w:rPr>
              <w:drawing>
                <wp:inline distT="0" distB="0" distL="0" distR="0" wp14:anchorId="7F9720E2" wp14:editId="63D56FC4">
                  <wp:extent cx="5295900" cy="1561612"/>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95900" cy="1561612"/>
                          </a:xfrm>
                          <a:prstGeom prst="rect">
                            <a:avLst/>
                          </a:prstGeom>
                        </pic:spPr>
                      </pic:pic>
                    </a:graphicData>
                  </a:graphic>
                </wp:inline>
              </w:drawing>
            </w:r>
          </w:p>
          <w:p w:rsidR="00086849" w:rsidRDefault="00086849" w:rsidP="000E221D"/>
          <w:p w:rsidR="00D8539B" w:rsidRDefault="001A1BCD" w:rsidP="000E221D">
            <w:r>
              <w:t xml:space="preserve">Click the edit button to the left of the record </w:t>
            </w:r>
            <w:r w:rsidR="00B55D3F">
              <w:t>requiring an</w:t>
            </w:r>
            <w:r>
              <w:t xml:space="preserve"> update.</w:t>
            </w:r>
            <w:r w:rsidR="005A2D59">
              <w:t xml:space="preserve">  </w:t>
            </w:r>
          </w:p>
          <w:p w:rsidR="00D8539B" w:rsidRDefault="00D8539B" w:rsidP="000E221D"/>
          <w:p w:rsidR="00D8539B" w:rsidRDefault="00D8539B" w:rsidP="000E221D">
            <w:r>
              <w:t xml:space="preserve">Note:  The “Delete” button is only available if the record has </w:t>
            </w:r>
            <w:r w:rsidR="007C5257">
              <w:t>never</w:t>
            </w:r>
            <w:r>
              <w:t xml:space="preserve"> been sent to CIPPS.  Once the record has been sent to CIPPS, the “Delete” option will be grayed out and a date will be populated in the “Date to CIPPS” column on the right hand side of the screen.</w:t>
            </w:r>
          </w:p>
          <w:p w:rsidR="00D8539B" w:rsidRPr="009A1B15" w:rsidRDefault="00D8539B" w:rsidP="000E221D">
            <w:pPr>
              <w:rPr>
                <w:sz w:val="16"/>
                <w:szCs w:val="16"/>
              </w:rPr>
            </w:pPr>
          </w:p>
          <w:p w:rsidR="00086849" w:rsidRDefault="005A2D59" w:rsidP="000E221D">
            <w:r>
              <w:t>The current information for the record is displayed.  Make the necessary changes and click “Accept” at the top of the form:</w:t>
            </w:r>
          </w:p>
          <w:p w:rsidR="001A1BCD" w:rsidRDefault="001A1BCD" w:rsidP="000E221D"/>
          <w:p w:rsidR="00D859B1" w:rsidRPr="00D417A9" w:rsidRDefault="000754DD" w:rsidP="000E221D">
            <w:r>
              <w:rPr>
                <w:noProof/>
              </w:rPr>
              <w:drawing>
                <wp:inline distT="0" distB="0" distL="0" distR="0">
                  <wp:extent cx="5287799" cy="2295516"/>
                  <wp:effectExtent l="0" t="0" r="0" b="0"/>
                  <wp:docPr id="2" name="Picture 2" descr="cid:image001.png@01D2D586.3508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586.3508F88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300366" cy="2300971"/>
                          </a:xfrm>
                          <a:prstGeom prst="rect">
                            <a:avLst/>
                          </a:prstGeom>
                          <a:noFill/>
                          <a:ln>
                            <a:noFill/>
                          </a:ln>
                        </pic:spPr>
                      </pic:pic>
                    </a:graphicData>
                  </a:graphic>
                </wp:inline>
              </w:drawing>
            </w:r>
          </w:p>
        </w:tc>
      </w:tr>
      <w:tr w:rsidR="005A2D59" w:rsidRPr="00C61BA4" w:rsidTr="007402EE">
        <w:trPr>
          <w:cantSplit/>
        </w:trPr>
        <w:tc>
          <w:tcPr>
            <w:tcW w:w="1728" w:type="dxa"/>
          </w:tcPr>
          <w:p w:rsidR="005A2D59" w:rsidRDefault="005A2D59" w:rsidP="00010FD4">
            <w:pPr>
              <w:rPr>
                <w:b/>
              </w:rPr>
            </w:pPr>
          </w:p>
          <w:p w:rsidR="005A2D59" w:rsidRDefault="005A2D59" w:rsidP="00010FD4">
            <w:pPr>
              <w:rPr>
                <w:b/>
              </w:rPr>
            </w:pPr>
          </w:p>
        </w:tc>
        <w:tc>
          <w:tcPr>
            <w:tcW w:w="8460" w:type="dxa"/>
          </w:tcPr>
          <w:p w:rsidR="005A2D59" w:rsidRPr="009A1B15" w:rsidRDefault="005A2D59" w:rsidP="000E221D">
            <w:pPr>
              <w:rPr>
                <w:sz w:val="16"/>
                <w:szCs w:val="16"/>
              </w:rPr>
            </w:pPr>
          </w:p>
          <w:p w:rsidR="00D8539B" w:rsidRDefault="00C25D40" w:rsidP="00D8539B">
            <w:r>
              <w:t xml:space="preserve">Record changes </w:t>
            </w:r>
            <w:r w:rsidR="00D8539B">
              <w:t xml:space="preserve">keyed before 2 pm </w:t>
            </w:r>
            <w:r>
              <w:t>will create a transaction that completely overwri</w:t>
            </w:r>
            <w:r w:rsidR="00D8539B">
              <w:t>tes the applicable H0901</w:t>
            </w:r>
            <w:r w:rsidR="006C2EAF">
              <w:t>-Name Number</w:t>
            </w:r>
            <w:r w:rsidR="00D8539B">
              <w:t xml:space="preserve"> screen that night.</w:t>
            </w:r>
          </w:p>
          <w:p w:rsidR="007C5257" w:rsidRPr="009A1B15" w:rsidRDefault="007C5257" w:rsidP="00D8539B">
            <w:pPr>
              <w:rPr>
                <w:sz w:val="16"/>
                <w:szCs w:val="16"/>
              </w:rPr>
            </w:pPr>
          </w:p>
          <w:p w:rsidR="00D8539B" w:rsidRDefault="007C5257" w:rsidP="003C2960">
            <w:r>
              <w:t xml:space="preserve">Making a record change will clear the “Date to CIPPS” field on the “Garnishment Maintenance” screen.  When the records are sent to CIPPS that night, the </w:t>
            </w:r>
            <w:r w:rsidR="003C2960">
              <w:t>field</w:t>
            </w:r>
            <w:r>
              <w:t xml:space="preserve"> will be re-populated</w:t>
            </w:r>
            <w:r w:rsidR="003C2960">
              <w:t xml:space="preserve"> with the new date</w:t>
            </w:r>
            <w:r>
              <w:t>.</w:t>
            </w:r>
          </w:p>
        </w:tc>
      </w:tr>
    </w:tbl>
    <w:p w:rsidR="00D859B1" w:rsidRDefault="002F4247" w:rsidP="002F4247">
      <w:pPr>
        <w:pStyle w:val="BlockLine"/>
        <w:ind w:left="1620"/>
        <w:jc w:val="right"/>
        <w:rPr>
          <w:i/>
          <w:sz w:val="20"/>
        </w:rPr>
      </w:pPr>
      <w:r>
        <w:rPr>
          <w:i/>
          <w:sz w:val="20"/>
        </w:rPr>
        <w:t>Continued on next page</w:t>
      </w:r>
    </w:p>
    <w:p w:rsidR="00755182" w:rsidRDefault="00755182" w:rsidP="00F70D24">
      <w:pPr>
        <w:pStyle w:val="Heading4"/>
        <w:spacing w:after="0"/>
        <w:rPr>
          <w:rFonts w:ascii="Times New Roman" w:hAnsi="Times New Roman"/>
          <w:b/>
          <w:sz w:val="28"/>
          <w:szCs w:val="28"/>
        </w:rPr>
      </w:pPr>
    </w:p>
    <w:p w:rsidR="00F70D24" w:rsidRDefault="00F70D24" w:rsidP="00F70D24">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F70D24" w:rsidRPr="00C50FDD" w:rsidRDefault="00F70D24" w:rsidP="00F70D24">
      <w:pPr>
        <w:pStyle w:val="BlockLine"/>
        <w:ind w:left="1620"/>
        <w:rPr>
          <w:sz w:val="16"/>
          <w:szCs w:val="16"/>
        </w:rPr>
      </w:pPr>
    </w:p>
    <w:tbl>
      <w:tblPr>
        <w:tblW w:w="10008" w:type="dxa"/>
        <w:tblLayout w:type="fixed"/>
        <w:tblLook w:val="0000" w:firstRow="0" w:lastRow="0" w:firstColumn="0" w:lastColumn="0" w:noHBand="0" w:noVBand="0"/>
      </w:tblPr>
      <w:tblGrid>
        <w:gridCol w:w="1728"/>
        <w:gridCol w:w="8280"/>
      </w:tblGrid>
      <w:tr w:rsidR="00943DAF" w:rsidRPr="00C80C77" w:rsidTr="00E96168">
        <w:trPr>
          <w:cantSplit/>
        </w:trPr>
        <w:tc>
          <w:tcPr>
            <w:tcW w:w="1728" w:type="dxa"/>
          </w:tcPr>
          <w:p w:rsidR="00943DAF" w:rsidRPr="00C80C77" w:rsidRDefault="00943DAF" w:rsidP="00943DAF">
            <w:pPr>
              <w:rPr>
                <w:b/>
              </w:rPr>
            </w:pPr>
            <w:r>
              <w:rPr>
                <w:b/>
              </w:rPr>
              <w:t>Part 2 – Complete the Process in CIPPS</w:t>
            </w:r>
          </w:p>
        </w:tc>
        <w:tc>
          <w:tcPr>
            <w:tcW w:w="8280" w:type="dxa"/>
          </w:tcPr>
          <w:p w:rsidR="0089241F" w:rsidRDefault="00B55D3F" w:rsidP="000E221D">
            <w:pPr>
              <w:rPr>
                <w:noProof/>
              </w:rPr>
            </w:pPr>
            <w:r>
              <w:rPr>
                <w:noProof/>
              </w:rPr>
              <w:t>G</w:t>
            </w:r>
            <w:r w:rsidR="008722B6">
              <w:rPr>
                <w:noProof/>
              </w:rPr>
              <w:t>arnishment record</w:t>
            </w:r>
            <w:r>
              <w:rPr>
                <w:noProof/>
              </w:rPr>
              <w:t>s</w:t>
            </w:r>
            <w:r w:rsidR="008722B6">
              <w:rPr>
                <w:noProof/>
              </w:rPr>
              <w:t xml:space="preserve"> </w:t>
            </w:r>
            <w:r>
              <w:rPr>
                <w:noProof/>
              </w:rPr>
              <w:t xml:space="preserve">added to </w:t>
            </w:r>
            <w:r w:rsidR="008722B6">
              <w:rPr>
                <w:noProof/>
              </w:rPr>
              <w:t xml:space="preserve">Payline before 2 pm </w:t>
            </w:r>
            <w:r>
              <w:rPr>
                <w:noProof/>
              </w:rPr>
              <w:t>will</w:t>
            </w:r>
            <w:r w:rsidR="008722B6">
              <w:rPr>
                <w:noProof/>
              </w:rPr>
              <w:t xml:space="preserve"> be </w:t>
            </w:r>
            <w:r>
              <w:rPr>
                <w:noProof/>
              </w:rPr>
              <w:t>visible in CIPPS</w:t>
            </w:r>
            <w:r w:rsidR="008722B6">
              <w:rPr>
                <w:noProof/>
              </w:rPr>
              <w:t xml:space="preserve"> the next business day.</w:t>
            </w:r>
          </w:p>
          <w:p w:rsidR="008722B6" w:rsidRDefault="008722B6" w:rsidP="000E221D">
            <w:pPr>
              <w:rPr>
                <w:noProof/>
              </w:rPr>
            </w:pPr>
          </w:p>
          <w:p w:rsidR="00F10692" w:rsidRDefault="008722B6" w:rsidP="000E221D">
            <w:pPr>
              <w:rPr>
                <w:noProof/>
              </w:rPr>
            </w:pPr>
            <w:r>
              <w:rPr>
                <w:noProof/>
              </w:rPr>
              <w:t>The fields will be formatted as shown below.  As mentioned at</w:t>
            </w:r>
            <w:r w:rsidR="00046F22">
              <w:rPr>
                <w:noProof/>
              </w:rPr>
              <w:t xml:space="preserve"> the beginning of this bulletin</w:t>
            </w:r>
            <w:r>
              <w:rPr>
                <w:noProof/>
              </w:rPr>
              <w:t xml:space="preserve"> </w:t>
            </w:r>
            <w:r w:rsidR="00B55D3F">
              <w:rPr>
                <w:noProof/>
              </w:rPr>
              <w:t xml:space="preserve">changes cannot be made directly to the </w:t>
            </w:r>
            <w:r w:rsidR="00046F22">
              <w:rPr>
                <w:noProof/>
              </w:rPr>
              <w:t xml:space="preserve">H0901 </w:t>
            </w:r>
            <w:r w:rsidR="00B55D3F">
              <w:rPr>
                <w:noProof/>
              </w:rPr>
              <w:t>screen</w:t>
            </w:r>
            <w:r w:rsidR="00754846">
              <w:rPr>
                <w:noProof/>
              </w:rPr>
              <w:t xml:space="preserve">.  </w:t>
            </w:r>
            <w:r w:rsidR="00B55D3F">
              <w:rPr>
                <w:noProof/>
              </w:rPr>
              <w:t>Required c</w:t>
            </w:r>
            <w:r w:rsidR="00754846">
              <w:rPr>
                <w:noProof/>
              </w:rPr>
              <w:t xml:space="preserve">hanges </w:t>
            </w:r>
            <w:r w:rsidR="00046F22">
              <w:rPr>
                <w:noProof/>
              </w:rPr>
              <w:t>must</w:t>
            </w:r>
            <w:r w:rsidR="00B55D3F">
              <w:rPr>
                <w:noProof/>
              </w:rPr>
              <w:t xml:space="preserve"> </w:t>
            </w:r>
            <w:r w:rsidR="00754846">
              <w:rPr>
                <w:noProof/>
              </w:rPr>
              <w:t>be made through Payline.</w:t>
            </w:r>
          </w:p>
          <w:p w:rsidR="00273098" w:rsidRDefault="00273098" w:rsidP="000E221D">
            <w:pPr>
              <w:rPr>
                <w:noProof/>
              </w:rPr>
            </w:pPr>
          </w:p>
          <w:p w:rsidR="00943DAF" w:rsidRDefault="0089241F" w:rsidP="00F10692">
            <w:pPr>
              <w:jc w:val="center"/>
              <w:rPr>
                <w:szCs w:val="24"/>
              </w:rPr>
            </w:pPr>
            <w:r>
              <w:rPr>
                <w:noProof/>
              </w:rPr>
              <w:drawing>
                <wp:inline distT="0" distB="0" distL="0" distR="0" wp14:anchorId="183FE8FE" wp14:editId="66DA0E85">
                  <wp:extent cx="4264699" cy="1805207"/>
                  <wp:effectExtent l="0" t="0" r="254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82484" cy="1812735"/>
                          </a:xfrm>
                          <a:prstGeom prst="rect">
                            <a:avLst/>
                          </a:prstGeom>
                        </pic:spPr>
                      </pic:pic>
                    </a:graphicData>
                  </a:graphic>
                </wp:inline>
              </w:drawing>
            </w:r>
          </w:p>
          <w:p w:rsidR="004B57DA" w:rsidRDefault="004B57DA" w:rsidP="00754846">
            <w:pPr>
              <w:rPr>
                <w:szCs w:val="24"/>
              </w:rPr>
            </w:pPr>
          </w:p>
          <w:p w:rsidR="00754846" w:rsidRPr="00C80C77" w:rsidRDefault="00A34AD4" w:rsidP="00A34AD4">
            <w:pPr>
              <w:rPr>
                <w:szCs w:val="24"/>
              </w:rPr>
            </w:pPr>
            <w:r>
              <w:rPr>
                <w:szCs w:val="24"/>
              </w:rPr>
              <w:t xml:space="preserve">The lines from Payee Name to Address 5 </w:t>
            </w:r>
            <w:r w:rsidR="00754846">
              <w:rPr>
                <w:szCs w:val="24"/>
              </w:rPr>
              <w:t xml:space="preserve">will print </w:t>
            </w:r>
            <w:r>
              <w:rPr>
                <w:szCs w:val="24"/>
              </w:rPr>
              <w:t xml:space="preserve">on the check and the outside of the self-sealed mailer in the order shown on the H0901 screen.  </w:t>
            </w:r>
            <w:r w:rsidR="00754846">
              <w:rPr>
                <w:szCs w:val="24"/>
              </w:rPr>
              <w:t xml:space="preserve">The Garnishment Case Number and Case Name will print </w:t>
            </w:r>
            <w:r>
              <w:rPr>
                <w:szCs w:val="24"/>
              </w:rPr>
              <w:t>at the top of the check face.</w:t>
            </w:r>
            <w:r w:rsidR="00754846">
              <w:rPr>
                <w:szCs w:val="24"/>
              </w:rPr>
              <w:t xml:space="preserve"> </w:t>
            </w:r>
          </w:p>
        </w:tc>
      </w:tr>
    </w:tbl>
    <w:p w:rsidR="00754846" w:rsidRPr="007700AC" w:rsidRDefault="00754846" w:rsidP="00754846">
      <w:pPr>
        <w:pStyle w:val="BlockLine"/>
        <w:ind w:left="1620"/>
        <w:rPr>
          <w:szCs w:val="24"/>
        </w:rPr>
      </w:pPr>
    </w:p>
    <w:tbl>
      <w:tblPr>
        <w:tblW w:w="10188" w:type="dxa"/>
        <w:tblLayout w:type="fixed"/>
        <w:tblLook w:val="0000" w:firstRow="0" w:lastRow="0" w:firstColumn="0" w:lastColumn="0" w:noHBand="0" w:noVBand="0"/>
      </w:tblPr>
      <w:tblGrid>
        <w:gridCol w:w="1728"/>
        <w:gridCol w:w="8460"/>
      </w:tblGrid>
      <w:tr w:rsidR="00754846" w:rsidRPr="00C61BA4" w:rsidTr="000E221D">
        <w:trPr>
          <w:cantSplit/>
        </w:trPr>
        <w:tc>
          <w:tcPr>
            <w:tcW w:w="1728" w:type="dxa"/>
          </w:tcPr>
          <w:p w:rsidR="00754846" w:rsidRPr="00C80C77" w:rsidRDefault="009A0A77" w:rsidP="000E221D">
            <w:pPr>
              <w:rPr>
                <w:b/>
              </w:rPr>
            </w:pPr>
            <w:r>
              <w:rPr>
                <w:b/>
              </w:rPr>
              <w:t>Special Processing for Deduction 001 - DCSE</w:t>
            </w:r>
          </w:p>
        </w:tc>
        <w:tc>
          <w:tcPr>
            <w:tcW w:w="8460" w:type="dxa"/>
          </w:tcPr>
          <w:p w:rsidR="0063040E" w:rsidRPr="0063040E" w:rsidRDefault="0063040E" w:rsidP="00520D65">
            <w:pPr>
              <w:rPr>
                <w:b/>
                <w:noProof/>
              </w:rPr>
            </w:pPr>
            <w:r w:rsidRPr="0063040E">
              <w:rPr>
                <w:b/>
                <w:noProof/>
              </w:rPr>
              <w:t xml:space="preserve">DO NOT set up a garnishment record in the Payline “Garnishment Maintenance” </w:t>
            </w:r>
            <w:r w:rsidR="00690CB7">
              <w:rPr>
                <w:b/>
                <w:noProof/>
              </w:rPr>
              <w:t>u</w:t>
            </w:r>
            <w:r w:rsidRPr="0063040E">
              <w:rPr>
                <w:b/>
                <w:noProof/>
              </w:rPr>
              <w:t xml:space="preserve">tility for Deduction 001. </w:t>
            </w:r>
          </w:p>
          <w:p w:rsidR="0063040E" w:rsidRDefault="0063040E" w:rsidP="00520D65">
            <w:pPr>
              <w:rPr>
                <w:noProof/>
              </w:rPr>
            </w:pPr>
          </w:p>
          <w:p w:rsidR="00520D65" w:rsidRDefault="004F07FA" w:rsidP="00520D65">
            <w:pPr>
              <w:rPr>
                <w:noProof/>
              </w:rPr>
            </w:pPr>
            <w:r>
              <w:rPr>
                <w:noProof/>
              </w:rPr>
              <w:t xml:space="preserve">Deduction 001 – DCSE is the only involuntary deduction that is sent via EFTP to the Department of Social Services.  </w:t>
            </w:r>
            <w:r w:rsidR="00EF702E">
              <w:rPr>
                <w:noProof/>
              </w:rPr>
              <w:t>Because this deduction does not create a third party check, it</w:t>
            </w:r>
            <w:r>
              <w:rPr>
                <w:noProof/>
              </w:rPr>
              <w:t xml:space="preserve"> should</w:t>
            </w:r>
            <w:r w:rsidR="009A0A77">
              <w:rPr>
                <w:noProof/>
              </w:rPr>
              <w:t xml:space="preserve"> ALWAYS</w:t>
            </w:r>
            <w:r>
              <w:rPr>
                <w:noProof/>
              </w:rPr>
              <w:t xml:space="preserve"> have a “0” in position #17 of the utility field on </w:t>
            </w:r>
            <w:r w:rsidR="00520D65">
              <w:rPr>
                <w:noProof/>
              </w:rPr>
              <w:t xml:space="preserve">H0ZDC.   </w:t>
            </w:r>
          </w:p>
          <w:p w:rsidR="0063040E" w:rsidRDefault="0063040E" w:rsidP="00520D65">
            <w:pPr>
              <w:rPr>
                <w:noProof/>
              </w:rPr>
            </w:pPr>
          </w:p>
          <w:p w:rsidR="0063040E" w:rsidRDefault="00F34326" w:rsidP="00520D65">
            <w:pPr>
              <w:rPr>
                <w:noProof/>
              </w:rPr>
            </w:pPr>
            <w:r>
              <w:rPr>
                <w:noProof/>
              </w:rPr>
              <w:t>Typing</w:t>
            </w:r>
            <w:r w:rsidR="0063040E">
              <w:rPr>
                <w:noProof/>
              </w:rPr>
              <w:t xml:space="preserve"> a name number in position #17 of th</w:t>
            </w:r>
            <w:r w:rsidR="00A44E26">
              <w:rPr>
                <w:noProof/>
              </w:rPr>
              <w:t>e utilility</w:t>
            </w:r>
            <w:r w:rsidR="0063040E">
              <w:rPr>
                <w:noProof/>
              </w:rPr>
              <w:t xml:space="preserve"> field</w:t>
            </w:r>
            <w:r>
              <w:rPr>
                <w:noProof/>
              </w:rPr>
              <w:t xml:space="preserve"> causes</w:t>
            </w:r>
            <w:r w:rsidR="0063040E">
              <w:rPr>
                <w:noProof/>
              </w:rPr>
              <w:t xml:space="preserve"> </w:t>
            </w:r>
            <w:r w:rsidR="006E4057">
              <w:rPr>
                <w:noProof/>
              </w:rPr>
              <w:t>CIPPS</w:t>
            </w:r>
            <w:r w:rsidR="0063040E">
              <w:rPr>
                <w:noProof/>
              </w:rPr>
              <w:t xml:space="preserve"> </w:t>
            </w:r>
            <w:r>
              <w:rPr>
                <w:noProof/>
              </w:rPr>
              <w:t>to</w:t>
            </w:r>
            <w:r w:rsidR="0063040E">
              <w:rPr>
                <w:noProof/>
              </w:rPr>
              <w:t xml:space="preserve"> generate </w:t>
            </w:r>
            <w:r w:rsidR="00A44E26">
              <w:rPr>
                <w:noProof/>
              </w:rPr>
              <w:t>a check to the wrong entity.  This creates an out of balance situation in the DCSE extract and</w:t>
            </w:r>
            <w:r w:rsidR="006E4057">
              <w:rPr>
                <w:noProof/>
              </w:rPr>
              <w:t xml:space="preserve"> </w:t>
            </w:r>
            <w:r w:rsidR="00EF702E">
              <w:rPr>
                <w:noProof/>
              </w:rPr>
              <w:t xml:space="preserve">a correcting journal entry </w:t>
            </w:r>
            <w:r w:rsidR="00A44E26">
              <w:rPr>
                <w:noProof/>
              </w:rPr>
              <w:t xml:space="preserve">is required </w:t>
            </w:r>
            <w:r w:rsidR="0063040E">
              <w:rPr>
                <w:noProof/>
              </w:rPr>
              <w:t>on behalf of your agency.</w:t>
            </w:r>
          </w:p>
          <w:p w:rsidR="004A1CE2" w:rsidRDefault="004A1CE2" w:rsidP="00520D65">
            <w:pPr>
              <w:rPr>
                <w:noProof/>
              </w:rPr>
            </w:pPr>
          </w:p>
          <w:p w:rsidR="004A1CE2" w:rsidRDefault="004A1CE2" w:rsidP="004A1CE2">
            <w:pPr>
              <w:rPr>
                <w:noProof/>
              </w:rPr>
            </w:pPr>
            <w:r>
              <w:rPr>
                <w:noProof/>
              </w:rPr>
              <w:t xml:space="preserve">Establish </w:t>
            </w:r>
            <w:r w:rsidR="00273098">
              <w:rPr>
                <w:noProof/>
              </w:rPr>
              <w:t>D</w:t>
            </w:r>
            <w:r>
              <w:rPr>
                <w:noProof/>
              </w:rPr>
              <w:t>eduction 001 as described in</w:t>
            </w:r>
            <w:r w:rsidR="00273098">
              <w:rPr>
                <w:noProof/>
              </w:rPr>
              <w:t xml:space="preserve"> Example A of </w:t>
            </w:r>
            <w:r>
              <w:rPr>
                <w:noProof/>
              </w:rPr>
              <w:t xml:space="preserve"> </w:t>
            </w:r>
            <w:hyperlink r:id="rId31" w:history="1">
              <w:r w:rsidRPr="00BE6191">
                <w:rPr>
                  <w:rStyle w:val="Hyperlink"/>
                  <w:noProof/>
                </w:rPr>
                <w:t>CAPP Topic 50405</w:t>
              </w:r>
            </w:hyperlink>
            <w:r>
              <w:rPr>
                <w:noProof/>
              </w:rPr>
              <w:t>.</w:t>
            </w:r>
            <w:r w:rsidR="00273098">
              <w:rPr>
                <w:noProof/>
              </w:rPr>
              <w:t xml:space="preserve">  </w:t>
            </w:r>
            <w:r w:rsidR="00690CB7">
              <w:rPr>
                <w:noProof/>
              </w:rPr>
              <w:t xml:space="preserve">The </w:t>
            </w:r>
            <w:r w:rsidR="00273098">
              <w:rPr>
                <w:noProof/>
              </w:rPr>
              <w:t xml:space="preserve">percentage specified in positions 7-10 of the utility field </w:t>
            </w:r>
            <w:r w:rsidR="00690CB7">
              <w:rPr>
                <w:noProof/>
              </w:rPr>
              <w:t xml:space="preserve">will be used </w:t>
            </w:r>
            <w:r w:rsidR="00273098">
              <w:rPr>
                <w:noProof/>
              </w:rPr>
              <w:t xml:space="preserve">to </w:t>
            </w:r>
            <w:r w:rsidR="006E4057">
              <w:rPr>
                <w:noProof/>
              </w:rPr>
              <w:t xml:space="preserve">instruct </w:t>
            </w:r>
            <w:r w:rsidR="00273098">
              <w:rPr>
                <w:noProof/>
              </w:rPr>
              <w:t>Cardinal to establish the deduction using the proper withholding rules</w:t>
            </w:r>
            <w:r w:rsidR="00690CB7">
              <w:rPr>
                <w:noProof/>
              </w:rPr>
              <w:t xml:space="preserve"> during conversion</w:t>
            </w:r>
            <w:r w:rsidR="00273098">
              <w:rPr>
                <w:noProof/>
              </w:rPr>
              <w:t>.</w:t>
            </w:r>
          </w:p>
          <w:p w:rsidR="004A1CE2" w:rsidRDefault="004A1CE2" w:rsidP="004A1CE2">
            <w:pPr>
              <w:rPr>
                <w:noProof/>
              </w:rPr>
            </w:pPr>
          </w:p>
          <w:p w:rsidR="00084AA2" w:rsidRPr="00D417A9" w:rsidRDefault="00084AA2" w:rsidP="00084AA2">
            <w:pPr>
              <w:rPr>
                <w:noProof/>
              </w:rPr>
            </w:pPr>
            <w:r>
              <w:rPr>
                <w:noProof/>
              </w:rPr>
              <w:t xml:space="preserve">As described in the next section, </w:t>
            </w:r>
            <w:r w:rsidR="00F10692">
              <w:rPr>
                <w:noProof/>
              </w:rPr>
              <w:t xml:space="preserve">agencies </w:t>
            </w:r>
            <w:r w:rsidR="00F10692" w:rsidRPr="00F10692">
              <w:rPr>
                <w:b/>
                <w:noProof/>
              </w:rPr>
              <w:t>MAY</w:t>
            </w:r>
            <w:r w:rsidR="00F10692">
              <w:rPr>
                <w:noProof/>
              </w:rPr>
              <w:t xml:space="preserve"> </w:t>
            </w:r>
            <w:r>
              <w:rPr>
                <w:noProof/>
              </w:rPr>
              <w:t xml:space="preserve">enter a </w:t>
            </w:r>
            <w:r w:rsidR="00F10692">
              <w:rPr>
                <w:noProof/>
              </w:rPr>
              <w:t>priority code on H0ZDC</w:t>
            </w:r>
            <w:r>
              <w:rPr>
                <w:noProof/>
              </w:rPr>
              <w:t xml:space="preserve"> to designate if this is a child, dependent or spousal support order</w:t>
            </w:r>
            <w:r w:rsidR="00F10692">
              <w:rPr>
                <w:noProof/>
              </w:rPr>
              <w:t xml:space="preserve">.  </w:t>
            </w:r>
            <w:r w:rsidR="001B6AED">
              <w:rPr>
                <w:noProof/>
              </w:rPr>
              <w:t xml:space="preserve">Agencies who decide to do so should </w:t>
            </w:r>
            <w:r>
              <w:rPr>
                <w:noProof/>
              </w:rPr>
              <w:t xml:space="preserve">read the next section to </w:t>
            </w:r>
            <w:r w:rsidR="001B6AED">
              <w:rPr>
                <w:noProof/>
              </w:rPr>
              <w:t>determine how to specifically designate the nature of the support order.</w:t>
            </w:r>
          </w:p>
        </w:tc>
      </w:tr>
    </w:tbl>
    <w:p w:rsidR="00754846" w:rsidRPr="00273DAC" w:rsidRDefault="00273DAC" w:rsidP="00273DAC">
      <w:pPr>
        <w:pStyle w:val="BlockLine"/>
        <w:ind w:left="1620"/>
        <w:jc w:val="right"/>
        <w:rPr>
          <w:i/>
          <w:sz w:val="20"/>
        </w:rPr>
      </w:pPr>
      <w:r>
        <w:rPr>
          <w:i/>
          <w:sz w:val="20"/>
        </w:rPr>
        <w:t>Continued on the next page</w:t>
      </w:r>
    </w:p>
    <w:p w:rsidR="00273DAC" w:rsidRDefault="00273DAC" w:rsidP="00273DAC"/>
    <w:p w:rsidR="00273DAC" w:rsidRDefault="00273DAC" w:rsidP="00273DAC">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273DAC" w:rsidRPr="00C50FDD" w:rsidRDefault="00273DAC" w:rsidP="00273DAC">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9A0A77" w:rsidRPr="00C61BA4" w:rsidTr="000E221D">
        <w:trPr>
          <w:cantSplit/>
        </w:trPr>
        <w:tc>
          <w:tcPr>
            <w:tcW w:w="1728" w:type="dxa"/>
          </w:tcPr>
          <w:p w:rsidR="009A0A77" w:rsidRPr="00C80C77" w:rsidRDefault="009A0A77" w:rsidP="000E221D">
            <w:pPr>
              <w:rPr>
                <w:b/>
              </w:rPr>
            </w:pPr>
            <w:r>
              <w:rPr>
                <w:b/>
              </w:rPr>
              <w:t>Add the Involuntary Deduction to H0ZDC</w:t>
            </w:r>
          </w:p>
        </w:tc>
        <w:tc>
          <w:tcPr>
            <w:tcW w:w="8460" w:type="dxa"/>
          </w:tcPr>
          <w:p w:rsidR="009A0A77" w:rsidRDefault="009A0A77" w:rsidP="000E221D">
            <w:r>
              <w:t xml:space="preserve">After the H0901 record is </w:t>
            </w:r>
            <w:r w:rsidR="00E75AF7">
              <w:t>transferred to</w:t>
            </w:r>
            <w:r>
              <w:t xml:space="preserve"> CIPPS, add the appropriate involuntary deduction on H0ZDC as </w:t>
            </w:r>
            <w:r w:rsidR="00EF1A8B">
              <w:t>instructed</w:t>
            </w:r>
            <w:r>
              <w:t xml:space="preserve"> in </w:t>
            </w:r>
            <w:hyperlink r:id="rId32" w:history="1">
              <w:r w:rsidRPr="00BE6191">
                <w:rPr>
                  <w:rStyle w:val="Hyperlink"/>
                </w:rPr>
                <w:t>CAPP Topic 50405</w:t>
              </w:r>
            </w:hyperlink>
            <w:r>
              <w:t>.</w:t>
            </w:r>
          </w:p>
          <w:p w:rsidR="009A0A77" w:rsidRDefault="009A0A77" w:rsidP="000E221D"/>
          <w:p w:rsidR="009A0A77" w:rsidRDefault="009A0A77" w:rsidP="000E221D">
            <w:r>
              <w:t>Deductions 00</w:t>
            </w:r>
            <w:r w:rsidR="0063040E">
              <w:t>2</w:t>
            </w:r>
            <w:r>
              <w:t xml:space="preserve"> – 008 create a third party check and will require a matching H0901</w:t>
            </w:r>
            <w:r w:rsidR="004A1CE2">
              <w:t xml:space="preserve"> record before they can be entered on H0ZDC.</w:t>
            </w:r>
            <w:r w:rsidR="00EF1A8B">
              <w:t xml:space="preserve">  </w:t>
            </w:r>
          </w:p>
          <w:p w:rsidR="00084AA2" w:rsidRDefault="00084AA2" w:rsidP="000E221D"/>
          <w:p w:rsidR="00084AA2" w:rsidRDefault="00084AA2" w:rsidP="000E221D">
            <w:r>
              <w:t xml:space="preserve">To properly establish the involuntary deduction in Cardinal, </w:t>
            </w:r>
            <w:r w:rsidR="00E75AF7">
              <w:t xml:space="preserve">it is necessary to identify </w:t>
            </w:r>
            <w:r>
              <w:t>the “type” of withholding.  This information will be used to select the garnishment calculation rule that applies to the order.</w:t>
            </w:r>
          </w:p>
          <w:p w:rsidR="009A0A77" w:rsidRDefault="009A0A77" w:rsidP="000E221D"/>
          <w:p w:rsidR="009A0A77" w:rsidRDefault="00953EC3" w:rsidP="000E221D">
            <w:r>
              <w:t>When e</w:t>
            </w:r>
            <w:r w:rsidR="009A0A77">
              <w:t>stablish</w:t>
            </w:r>
            <w:r>
              <w:t>ing</w:t>
            </w:r>
            <w:r w:rsidR="009A0A77">
              <w:t xml:space="preserve"> the garnishment record in Payline, a “Record Type”</w:t>
            </w:r>
            <w:r>
              <w:t xml:space="preserve"> </w:t>
            </w:r>
            <w:r w:rsidR="00EF1A8B">
              <w:t>was</w:t>
            </w:r>
            <w:r>
              <w:t xml:space="preserve"> selected</w:t>
            </w:r>
            <w:r w:rsidR="009A0A77">
              <w:t xml:space="preserve">.  </w:t>
            </w:r>
            <w:r>
              <w:t xml:space="preserve">The “Record Type” </w:t>
            </w:r>
            <w:r w:rsidR="00EF1A8B" w:rsidRPr="00E75AF7">
              <w:rPr>
                <w:b/>
              </w:rPr>
              <w:t>does</w:t>
            </w:r>
            <w:r w:rsidR="009A0A77" w:rsidRPr="00E75AF7">
              <w:rPr>
                <w:b/>
              </w:rPr>
              <w:t xml:space="preserve"> not</w:t>
            </w:r>
            <w:r w:rsidR="009A0A77">
              <w:t xml:space="preserve"> interface to CIPPS.  </w:t>
            </w:r>
            <w:r w:rsidR="00084AA2">
              <w:t>Instead, i</w:t>
            </w:r>
            <w:r w:rsidR="009A0A77">
              <w:t xml:space="preserve">t should be entered manually into the </w:t>
            </w:r>
            <w:r w:rsidR="00E75AF7">
              <w:t>three-</w:t>
            </w:r>
            <w:r w:rsidR="009A0A77">
              <w:t>digit PRTY (Priority) field w</w:t>
            </w:r>
            <w:r w:rsidR="00084AA2">
              <w:t>hen establish</w:t>
            </w:r>
            <w:r w:rsidR="00EB4F78">
              <w:t>ing</w:t>
            </w:r>
            <w:r w:rsidR="00084AA2">
              <w:t xml:space="preserve"> the deduction on H0ZDC.</w:t>
            </w:r>
          </w:p>
          <w:p w:rsidR="009A0A77" w:rsidRDefault="009A0A77" w:rsidP="000E221D"/>
          <w:p w:rsidR="0063040E" w:rsidRDefault="0063040E" w:rsidP="00EF1A8B">
            <w:pPr>
              <w:jc w:val="center"/>
            </w:pPr>
            <w:r>
              <w:rPr>
                <w:noProof/>
              </w:rPr>
              <w:drawing>
                <wp:inline distT="0" distB="0" distL="0" distR="0" wp14:anchorId="7B2DD655" wp14:editId="28847504">
                  <wp:extent cx="5212170" cy="1724025"/>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222752" cy="1727525"/>
                          </a:xfrm>
                          <a:prstGeom prst="rect">
                            <a:avLst/>
                          </a:prstGeom>
                        </pic:spPr>
                      </pic:pic>
                    </a:graphicData>
                  </a:graphic>
                </wp:inline>
              </w:drawing>
            </w:r>
          </w:p>
          <w:p w:rsidR="0063040E" w:rsidRDefault="0063040E" w:rsidP="000E221D"/>
          <w:p w:rsidR="009A0A77" w:rsidRDefault="009A0A77" w:rsidP="000E221D">
            <w:r>
              <w:t xml:space="preserve">NOTE:  Changing this code on the employee level </w:t>
            </w:r>
            <w:r w:rsidR="00084AA2">
              <w:t>does</w:t>
            </w:r>
            <w:r>
              <w:t xml:space="preserve"> not affect the processing priority.  </w:t>
            </w:r>
            <w:r w:rsidR="00D017C8">
              <w:t xml:space="preserve">CIPPS </w:t>
            </w:r>
            <w:r>
              <w:t>system settings defer to the priority codes established on the company level.</w:t>
            </w:r>
          </w:p>
          <w:p w:rsidR="00180BE8" w:rsidRDefault="00180BE8" w:rsidP="000E221D"/>
          <w:p w:rsidR="00180BE8" w:rsidRDefault="00180BE8" w:rsidP="000E221D">
            <w:r>
              <w:t xml:space="preserve">If the deduction number is “001” or “002” and the priority code is the default “000” the deduction is </w:t>
            </w:r>
            <w:r w:rsidR="000C11EA">
              <w:t xml:space="preserve">assumed to be </w:t>
            </w:r>
            <w:r>
              <w:t xml:space="preserve">a Child Support Deduction.  </w:t>
            </w:r>
            <w:r w:rsidR="00454000">
              <w:t xml:space="preserve">Agencies </w:t>
            </w:r>
            <w:r w:rsidR="00454000" w:rsidRPr="00454000">
              <w:rPr>
                <w:b/>
              </w:rPr>
              <w:t>MAY</w:t>
            </w:r>
            <w:r w:rsidR="00454000">
              <w:t xml:space="preserve"> designate this deduction </w:t>
            </w:r>
            <w:r w:rsidR="00E87E2A">
              <w:t xml:space="preserve">more specifically </w:t>
            </w:r>
            <w:r w:rsidR="00454000">
              <w:t xml:space="preserve">as either “dependent” or “spousal” support.  </w:t>
            </w:r>
            <w:r w:rsidR="00E87E2A">
              <w:t>The designation</w:t>
            </w:r>
            <w:r w:rsidR="00454000">
              <w:t xml:space="preserve"> is purely informational and does not impact the amount of </w:t>
            </w:r>
            <w:r w:rsidR="00061A39">
              <w:t xml:space="preserve">support </w:t>
            </w:r>
            <w:r w:rsidR="00454000">
              <w:t>withholding based on Virginia rules.</w:t>
            </w:r>
          </w:p>
          <w:p w:rsidR="00180BE8" w:rsidRDefault="00180BE8" w:rsidP="000E221D"/>
          <w:p w:rsidR="00180BE8" w:rsidRDefault="00180BE8" w:rsidP="000E221D">
            <w:r>
              <w:t xml:space="preserve">If the deduction number is 003-008 and the priority code is the default “000” </w:t>
            </w:r>
            <w:r w:rsidR="000C11EA">
              <w:t>the deduction is</w:t>
            </w:r>
            <w:r>
              <w:t xml:space="preserve"> </w:t>
            </w:r>
            <w:r w:rsidR="00E36AB0">
              <w:t>assume</w:t>
            </w:r>
            <w:r w:rsidR="000C11EA">
              <w:t>d to be</w:t>
            </w:r>
            <w:r>
              <w:t xml:space="preserve"> a Court Ordered Garnishment (Writ).</w:t>
            </w:r>
          </w:p>
          <w:p w:rsidR="009A0A77" w:rsidRDefault="009A0A77" w:rsidP="000E221D"/>
          <w:p w:rsidR="00084AA2" w:rsidRPr="00D417A9" w:rsidRDefault="00EF1A8B" w:rsidP="00953EC3">
            <w:r>
              <w:t>To specify other</w:t>
            </w:r>
            <w:r w:rsidR="00084AA2">
              <w:t xml:space="preserve"> withholding types, enter the three digit number that </w:t>
            </w:r>
            <w:r>
              <w:t xml:space="preserve">was </w:t>
            </w:r>
            <w:r w:rsidR="00084AA2">
              <w:t xml:space="preserve">selected </w:t>
            </w:r>
            <w:r w:rsidR="00EB4F78">
              <w:t xml:space="preserve">as the “Record Type” </w:t>
            </w:r>
            <w:r w:rsidR="00084AA2">
              <w:t>in the Payline utility</w:t>
            </w:r>
            <w:r w:rsidR="00D017C8">
              <w:t xml:space="preserve"> that established/changed </w:t>
            </w:r>
            <w:r w:rsidR="001A438C">
              <w:t>the H0901 record</w:t>
            </w:r>
            <w:r w:rsidR="00084AA2">
              <w:t xml:space="preserve">.  A </w:t>
            </w:r>
            <w:r w:rsidR="00180BE8">
              <w:t xml:space="preserve">complete </w:t>
            </w:r>
            <w:r w:rsidR="00084AA2">
              <w:t xml:space="preserve">list </w:t>
            </w:r>
            <w:r w:rsidR="00E36AB0">
              <w:t>of codes</w:t>
            </w:r>
            <w:r w:rsidR="00084AA2">
              <w:t xml:space="preserve"> is provided </w:t>
            </w:r>
            <w:r w:rsidR="00EB4F78">
              <w:t>in the previous section entitled “</w:t>
            </w:r>
            <w:r w:rsidR="00EB4F78">
              <w:rPr>
                <w:b/>
              </w:rPr>
              <w:t>Field Entry for the Garnishment Maintenance -Add Record Screen”.</w:t>
            </w:r>
          </w:p>
        </w:tc>
      </w:tr>
    </w:tbl>
    <w:p w:rsidR="009A0A77" w:rsidRPr="006D3942" w:rsidRDefault="006D3942" w:rsidP="006D3942">
      <w:pPr>
        <w:pStyle w:val="BlockLine"/>
        <w:ind w:left="1620"/>
        <w:jc w:val="right"/>
        <w:rPr>
          <w:i/>
          <w:sz w:val="20"/>
        </w:rPr>
      </w:pPr>
      <w:r>
        <w:rPr>
          <w:i/>
          <w:sz w:val="20"/>
        </w:rPr>
        <w:t>Continued on the next page</w:t>
      </w:r>
    </w:p>
    <w:p w:rsidR="00061A39" w:rsidRDefault="00061A39" w:rsidP="00061A39"/>
    <w:p w:rsidR="00AD3646" w:rsidRDefault="00AD3646" w:rsidP="00AD3646">
      <w:pPr>
        <w:pStyle w:val="Heading4"/>
        <w:spacing w:after="0"/>
        <w:rPr>
          <w:rFonts w:ascii="Times New Roman" w:hAnsi="Times New Roman"/>
          <w:b/>
          <w:sz w:val="28"/>
          <w:szCs w:val="28"/>
        </w:rPr>
      </w:pPr>
      <w:r>
        <w:rPr>
          <w:rFonts w:ascii="Times New Roman" w:hAnsi="Times New Roman"/>
          <w:b/>
          <w:sz w:val="28"/>
          <w:szCs w:val="28"/>
        </w:rPr>
        <w:lastRenderedPageBreak/>
        <w:t>New Process for Involuntary Deductions, continued</w:t>
      </w:r>
    </w:p>
    <w:p w:rsidR="00AD3646" w:rsidRPr="00C50FDD" w:rsidRDefault="00AD3646" w:rsidP="00AD3646">
      <w:pPr>
        <w:pStyle w:val="BlockLine"/>
        <w:ind w:left="1620"/>
        <w:rPr>
          <w:sz w:val="16"/>
          <w:szCs w:val="16"/>
        </w:rPr>
      </w:pPr>
    </w:p>
    <w:tbl>
      <w:tblPr>
        <w:tblW w:w="10008" w:type="dxa"/>
        <w:tblLayout w:type="fixed"/>
        <w:tblLook w:val="0000" w:firstRow="0" w:lastRow="0" w:firstColumn="0" w:lastColumn="0" w:noHBand="0" w:noVBand="0"/>
      </w:tblPr>
      <w:tblGrid>
        <w:gridCol w:w="1728"/>
        <w:gridCol w:w="8280"/>
      </w:tblGrid>
      <w:tr w:rsidR="008947C1" w:rsidRPr="00C80C77" w:rsidTr="00E13488">
        <w:trPr>
          <w:cantSplit/>
        </w:trPr>
        <w:tc>
          <w:tcPr>
            <w:tcW w:w="1728" w:type="dxa"/>
          </w:tcPr>
          <w:p w:rsidR="008947C1" w:rsidRPr="00C80C77" w:rsidRDefault="008947C1" w:rsidP="008947C1">
            <w:pPr>
              <w:rPr>
                <w:b/>
              </w:rPr>
            </w:pPr>
            <w:r>
              <w:rPr>
                <w:b/>
              </w:rPr>
              <w:t>Establishing H0901 For Deceased Payments</w:t>
            </w:r>
          </w:p>
        </w:tc>
        <w:tc>
          <w:tcPr>
            <w:tcW w:w="8280" w:type="dxa"/>
          </w:tcPr>
          <w:p w:rsidR="008947C1" w:rsidRDefault="008947C1" w:rsidP="00E13488">
            <w:pPr>
              <w:rPr>
                <w:szCs w:val="24"/>
              </w:rPr>
            </w:pPr>
            <w:r>
              <w:rPr>
                <w:szCs w:val="24"/>
              </w:rPr>
              <w:t xml:space="preserve">In order to facilitate the new requirements, agencies will </w:t>
            </w:r>
            <w:r w:rsidR="001E1669">
              <w:rPr>
                <w:szCs w:val="24"/>
              </w:rPr>
              <w:t xml:space="preserve">also be required </w:t>
            </w:r>
            <w:r>
              <w:rPr>
                <w:szCs w:val="24"/>
              </w:rPr>
              <w:t xml:space="preserve">to use the “Garnishment Maintenance” utility to establish the H0901 record for </w:t>
            </w:r>
            <w:r w:rsidR="001E1669">
              <w:rPr>
                <w:szCs w:val="24"/>
              </w:rPr>
              <w:t xml:space="preserve">payments to Administrators/heirs/beneficiaries of </w:t>
            </w:r>
            <w:r>
              <w:rPr>
                <w:szCs w:val="24"/>
              </w:rPr>
              <w:t xml:space="preserve">deceased </w:t>
            </w:r>
            <w:r w:rsidR="001E1669">
              <w:rPr>
                <w:szCs w:val="24"/>
              </w:rPr>
              <w:t>employees</w:t>
            </w:r>
            <w:r>
              <w:rPr>
                <w:szCs w:val="24"/>
              </w:rPr>
              <w:t xml:space="preserve">.  </w:t>
            </w:r>
          </w:p>
          <w:p w:rsidR="008947C1" w:rsidRDefault="008947C1" w:rsidP="00E13488">
            <w:pPr>
              <w:rPr>
                <w:szCs w:val="24"/>
              </w:rPr>
            </w:pPr>
          </w:p>
          <w:p w:rsidR="008947C1" w:rsidRDefault="008947C1" w:rsidP="008947C1">
            <w:r>
              <w:rPr>
                <w:szCs w:val="24"/>
              </w:rPr>
              <w:t>State Payroll Operations will estab</w:t>
            </w:r>
            <w:r w:rsidR="001E1669">
              <w:rPr>
                <w:szCs w:val="24"/>
              </w:rPr>
              <w:t>lish the estate/survivor as a “V</w:t>
            </w:r>
            <w:r>
              <w:rPr>
                <w:szCs w:val="24"/>
              </w:rPr>
              <w:t xml:space="preserve">endor” in the Payline utility after receiving </w:t>
            </w:r>
            <w:r w:rsidR="00EB4F78">
              <w:rPr>
                <w:szCs w:val="24"/>
              </w:rPr>
              <w:t>the</w:t>
            </w:r>
            <w:r>
              <w:rPr>
                <w:szCs w:val="24"/>
              </w:rPr>
              <w:t xml:space="preserve"> completed </w:t>
            </w:r>
            <w:r>
              <w:t>“Garnishment Vendor Request Form”.  In the “Reason for Request” designate “Other” and specify “Deceased Payment” in the explanation area.</w:t>
            </w:r>
          </w:p>
          <w:p w:rsidR="008947C1" w:rsidRDefault="008947C1" w:rsidP="008947C1"/>
          <w:p w:rsidR="008947C1" w:rsidRPr="000428D9" w:rsidRDefault="008947C1" w:rsidP="001E1669">
            <w:r>
              <w:t>Unlike other “</w:t>
            </w:r>
            <w:r w:rsidR="001E1669">
              <w:t>V</w:t>
            </w:r>
            <w:r>
              <w:t>endor” records in the utility, this information will NOT be visible to other agencies.</w:t>
            </w:r>
          </w:p>
        </w:tc>
      </w:tr>
    </w:tbl>
    <w:p w:rsidR="008947C1" w:rsidRPr="007700AC" w:rsidRDefault="008947C1" w:rsidP="008947C1">
      <w:pPr>
        <w:pStyle w:val="BlockLine"/>
        <w:ind w:left="1620"/>
        <w:rPr>
          <w:szCs w:val="24"/>
        </w:rPr>
      </w:pPr>
    </w:p>
    <w:p w:rsidR="00061A39" w:rsidRDefault="00061A39" w:rsidP="00061A39"/>
    <w:p w:rsidR="00061A39" w:rsidRPr="00061A39" w:rsidRDefault="00061A39" w:rsidP="00061A39"/>
    <w:p w:rsidR="00754846" w:rsidRDefault="00754846">
      <w:pPr>
        <w:rPr>
          <w:b/>
          <w:sz w:val="28"/>
          <w:szCs w:val="28"/>
        </w:rPr>
      </w:pPr>
    </w:p>
    <w:sectPr w:rsidR="00754846" w:rsidSect="00B631B0">
      <w:headerReference w:type="default" r:id="rId34"/>
      <w:footerReference w:type="default" r:id="rId35"/>
      <w:pgSz w:w="12240" w:h="15840" w:code="1"/>
      <w:pgMar w:top="540" w:right="1152" w:bottom="360" w:left="1152"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DA" w:rsidRDefault="00BF69DA">
      <w:r>
        <w:separator/>
      </w:r>
    </w:p>
  </w:endnote>
  <w:endnote w:type="continuationSeparator" w:id="0">
    <w:p w:rsidR="00BF69DA" w:rsidRDefault="00BF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68" w:rsidRDefault="00DB2068"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090B72">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0B72">
      <w:rPr>
        <w:rStyle w:val="PageNumber"/>
        <w:noProof/>
      </w:rPr>
      <w:t>11</w:t>
    </w:r>
    <w:r>
      <w:rPr>
        <w:rStyle w:val="PageNumber"/>
      </w:rPr>
      <w:fldChar w:fldCharType="end"/>
    </w:r>
  </w:p>
  <w:p w:rsidR="00DB2068" w:rsidRPr="008E2020" w:rsidRDefault="00090B72" w:rsidP="008E2020">
    <w:pPr>
      <w:pStyle w:val="NormalWeb"/>
      <w:jc w:val="center"/>
      <w:rPr>
        <w:rFonts w:ascii="Arial" w:hAnsi="Arial" w:cs="Arial"/>
        <w:color w:val="006666"/>
        <w:sz w:val="20"/>
        <w:szCs w:val="20"/>
      </w:rPr>
    </w:pPr>
    <w:hyperlink r:id="rId1" w:tooltip="http://www.doa.virginia.gov/Payroll/Payroll_Bulletins/Payroll_Bulletins_Main.cfm" w:history="1">
      <w:r w:rsidR="00DB2068">
        <w:rPr>
          <w:rStyle w:val="Hyperlink"/>
          <w:i/>
          <w:iCs/>
          <w:snapToGrid w:val="0"/>
          <w:sz w:val="22"/>
          <w:szCs w:val="20"/>
        </w:rPr>
        <w:t>http://www.doa.virginia.gov/Payroll/Payroll_Bulletins/Payroll_Bulletins_Main.cfm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DA" w:rsidRDefault="00BF69DA">
      <w:r>
        <w:separator/>
      </w:r>
    </w:p>
  </w:footnote>
  <w:footnote w:type="continuationSeparator" w:id="0">
    <w:p w:rsidR="00BF69DA" w:rsidRDefault="00BF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68" w:rsidRDefault="00DB2068" w:rsidP="00B97E16"/>
  <w:tbl>
    <w:tblPr>
      <w:tblW w:w="10188" w:type="dxa"/>
      <w:tblLayout w:type="fixed"/>
      <w:tblLook w:val="0000" w:firstRow="0" w:lastRow="0" w:firstColumn="0" w:lastColumn="0" w:noHBand="0" w:noVBand="0"/>
    </w:tblPr>
    <w:tblGrid>
      <w:gridCol w:w="3366"/>
      <w:gridCol w:w="3366"/>
      <w:gridCol w:w="3456"/>
    </w:tblGrid>
    <w:tr w:rsidR="00DB2068" w:rsidTr="00457EE5">
      <w:trPr>
        <w:cantSplit/>
      </w:trPr>
      <w:tc>
        <w:tcPr>
          <w:tcW w:w="3366" w:type="dxa"/>
          <w:tcBorders>
            <w:bottom w:val="double" w:sz="6" w:space="0" w:color="auto"/>
          </w:tcBorders>
        </w:tcPr>
        <w:p w:rsidR="00DB2068" w:rsidRDefault="00DB2068" w:rsidP="006B618E">
          <w:pPr>
            <w:pStyle w:val="Header"/>
            <w:rPr>
              <w:b/>
              <w:sz w:val="20"/>
            </w:rPr>
          </w:pPr>
          <w:r>
            <w:rPr>
              <w:b/>
              <w:sz w:val="20"/>
            </w:rPr>
            <w:t>Calendar Year 2017</w:t>
          </w:r>
        </w:p>
      </w:tc>
      <w:tc>
        <w:tcPr>
          <w:tcW w:w="3366" w:type="dxa"/>
          <w:tcBorders>
            <w:bottom w:val="double" w:sz="6" w:space="0" w:color="auto"/>
          </w:tcBorders>
        </w:tcPr>
        <w:p w:rsidR="00DB2068" w:rsidRDefault="00DB2068" w:rsidP="00844CE2">
          <w:pPr>
            <w:pStyle w:val="Header"/>
            <w:jc w:val="center"/>
            <w:rPr>
              <w:b/>
              <w:sz w:val="20"/>
            </w:rPr>
          </w:pPr>
          <w:r>
            <w:rPr>
              <w:b/>
              <w:sz w:val="20"/>
            </w:rPr>
            <w:t>May 2</w:t>
          </w:r>
          <w:r w:rsidR="00844CE2">
            <w:rPr>
              <w:b/>
              <w:sz w:val="20"/>
            </w:rPr>
            <w:t>6</w:t>
          </w:r>
          <w:r>
            <w:rPr>
              <w:b/>
              <w:sz w:val="20"/>
            </w:rPr>
            <w:t>, 2017</w:t>
          </w:r>
        </w:p>
      </w:tc>
      <w:tc>
        <w:tcPr>
          <w:tcW w:w="3456" w:type="dxa"/>
          <w:tcBorders>
            <w:bottom w:val="double" w:sz="6" w:space="0" w:color="auto"/>
          </w:tcBorders>
        </w:tcPr>
        <w:p w:rsidR="00DB2068" w:rsidRDefault="00DB2068" w:rsidP="00687CDC">
          <w:pPr>
            <w:pStyle w:val="Header"/>
            <w:jc w:val="right"/>
            <w:rPr>
              <w:b/>
              <w:sz w:val="20"/>
            </w:rPr>
          </w:pPr>
          <w:r>
            <w:rPr>
              <w:b/>
              <w:sz w:val="20"/>
            </w:rPr>
            <w:t>Volume 2017-06</w:t>
          </w:r>
        </w:p>
      </w:tc>
    </w:tr>
  </w:tbl>
  <w:p w:rsidR="00DB2068" w:rsidRDefault="00DB2068" w:rsidP="00B9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F8"/>
    <w:multiLevelType w:val="hybridMultilevel"/>
    <w:tmpl w:val="8D6E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590C"/>
    <w:multiLevelType w:val="hybridMultilevel"/>
    <w:tmpl w:val="C3E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574A1"/>
    <w:multiLevelType w:val="hybridMultilevel"/>
    <w:tmpl w:val="465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E177B"/>
    <w:multiLevelType w:val="hybridMultilevel"/>
    <w:tmpl w:val="182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16B9"/>
    <w:multiLevelType w:val="hybridMultilevel"/>
    <w:tmpl w:val="4F6E9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7B3B2A"/>
    <w:multiLevelType w:val="hybridMultilevel"/>
    <w:tmpl w:val="D65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6C996A76"/>
    <w:multiLevelType w:val="hybridMultilevel"/>
    <w:tmpl w:val="0D5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F76AC"/>
    <w:multiLevelType w:val="hybridMultilevel"/>
    <w:tmpl w:val="CB7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9"/>
  </w:num>
  <w:num w:numId="2">
    <w:abstractNumId w:val="6"/>
  </w:num>
  <w:num w:numId="3">
    <w:abstractNumId w:val="4"/>
  </w:num>
  <w:num w:numId="4">
    <w:abstractNumId w:val="7"/>
  </w:num>
  <w:num w:numId="5">
    <w:abstractNumId w:val="5"/>
  </w:num>
  <w:num w:numId="6">
    <w:abstractNumId w:val="3"/>
  </w:num>
  <w:num w:numId="7">
    <w:abstractNumId w:val="0"/>
  </w:num>
  <w:num w:numId="8">
    <w:abstractNumId w:val="2"/>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1EE2"/>
    <w:rsid w:val="0000308D"/>
    <w:rsid w:val="00004F99"/>
    <w:rsid w:val="000054AF"/>
    <w:rsid w:val="00010FD4"/>
    <w:rsid w:val="000134A3"/>
    <w:rsid w:val="00016C23"/>
    <w:rsid w:val="000229A0"/>
    <w:rsid w:val="000248B8"/>
    <w:rsid w:val="000249D4"/>
    <w:rsid w:val="0002659D"/>
    <w:rsid w:val="00026758"/>
    <w:rsid w:val="00026F4E"/>
    <w:rsid w:val="0003091B"/>
    <w:rsid w:val="00030B56"/>
    <w:rsid w:val="00031810"/>
    <w:rsid w:val="00037797"/>
    <w:rsid w:val="000428D9"/>
    <w:rsid w:val="00045E51"/>
    <w:rsid w:val="00046F22"/>
    <w:rsid w:val="00051F41"/>
    <w:rsid w:val="00053D2A"/>
    <w:rsid w:val="00057FF0"/>
    <w:rsid w:val="00061A39"/>
    <w:rsid w:val="0006613D"/>
    <w:rsid w:val="000744A3"/>
    <w:rsid w:val="000754DD"/>
    <w:rsid w:val="00082B31"/>
    <w:rsid w:val="000838F6"/>
    <w:rsid w:val="00084AA2"/>
    <w:rsid w:val="00086849"/>
    <w:rsid w:val="00090054"/>
    <w:rsid w:val="00090B72"/>
    <w:rsid w:val="0009380A"/>
    <w:rsid w:val="000950B2"/>
    <w:rsid w:val="000A15F1"/>
    <w:rsid w:val="000A3E0D"/>
    <w:rsid w:val="000A6C74"/>
    <w:rsid w:val="000B4932"/>
    <w:rsid w:val="000C11EA"/>
    <w:rsid w:val="000C380F"/>
    <w:rsid w:val="000C512B"/>
    <w:rsid w:val="000D0C78"/>
    <w:rsid w:val="000D1B11"/>
    <w:rsid w:val="000D580C"/>
    <w:rsid w:val="000E039D"/>
    <w:rsid w:val="000E4259"/>
    <w:rsid w:val="000E640C"/>
    <w:rsid w:val="000E74D7"/>
    <w:rsid w:val="000F275A"/>
    <w:rsid w:val="000F2CA8"/>
    <w:rsid w:val="000F6DE8"/>
    <w:rsid w:val="0010126D"/>
    <w:rsid w:val="00101D96"/>
    <w:rsid w:val="00103B1F"/>
    <w:rsid w:val="00106AFF"/>
    <w:rsid w:val="00107440"/>
    <w:rsid w:val="00110E97"/>
    <w:rsid w:val="00111132"/>
    <w:rsid w:val="00120EE2"/>
    <w:rsid w:val="00123327"/>
    <w:rsid w:val="00123B03"/>
    <w:rsid w:val="001271E6"/>
    <w:rsid w:val="00133A90"/>
    <w:rsid w:val="00134B78"/>
    <w:rsid w:val="00137FE0"/>
    <w:rsid w:val="001434D8"/>
    <w:rsid w:val="001439EF"/>
    <w:rsid w:val="001466D1"/>
    <w:rsid w:val="00151B3E"/>
    <w:rsid w:val="00153F62"/>
    <w:rsid w:val="00155CA4"/>
    <w:rsid w:val="00166819"/>
    <w:rsid w:val="00171F46"/>
    <w:rsid w:val="0017285D"/>
    <w:rsid w:val="00172D33"/>
    <w:rsid w:val="00176083"/>
    <w:rsid w:val="00176AD2"/>
    <w:rsid w:val="00177EA1"/>
    <w:rsid w:val="00180BE8"/>
    <w:rsid w:val="00191901"/>
    <w:rsid w:val="0019385E"/>
    <w:rsid w:val="001952D4"/>
    <w:rsid w:val="00196C53"/>
    <w:rsid w:val="001A1BCD"/>
    <w:rsid w:val="001A2715"/>
    <w:rsid w:val="001A30BA"/>
    <w:rsid w:val="001A3EA1"/>
    <w:rsid w:val="001A438C"/>
    <w:rsid w:val="001B051B"/>
    <w:rsid w:val="001B0CF2"/>
    <w:rsid w:val="001B21AB"/>
    <w:rsid w:val="001B31CA"/>
    <w:rsid w:val="001B66E0"/>
    <w:rsid w:val="001B6AED"/>
    <w:rsid w:val="001C3B20"/>
    <w:rsid w:val="001C416E"/>
    <w:rsid w:val="001C6B3E"/>
    <w:rsid w:val="001D1313"/>
    <w:rsid w:val="001E07BF"/>
    <w:rsid w:val="001E1669"/>
    <w:rsid w:val="001E47DD"/>
    <w:rsid w:val="001E5422"/>
    <w:rsid w:val="001E5C91"/>
    <w:rsid w:val="001E676B"/>
    <w:rsid w:val="001F28FA"/>
    <w:rsid w:val="001F423F"/>
    <w:rsid w:val="0020143F"/>
    <w:rsid w:val="00203080"/>
    <w:rsid w:val="0021385E"/>
    <w:rsid w:val="00221066"/>
    <w:rsid w:val="002226E4"/>
    <w:rsid w:val="00222CB9"/>
    <w:rsid w:val="00223DE2"/>
    <w:rsid w:val="002244EF"/>
    <w:rsid w:val="00224F21"/>
    <w:rsid w:val="00225F15"/>
    <w:rsid w:val="00226457"/>
    <w:rsid w:val="00231006"/>
    <w:rsid w:val="0023516A"/>
    <w:rsid w:val="00245772"/>
    <w:rsid w:val="002463DF"/>
    <w:rsid w:val="00246724"/>
    <w:rsid w:val="0025042C"/>
    <w:rsid w:val="00251987"/>
    <w:rsid w:val="00254C18"/>
    <w:rsid w:val="002661B4"/>
    <w:rsid w:val="002719DD"/>
    <w:rsid w:val="00273098"/>
    <w:rsid w:val="00273DAC"/>
    <w:rsid w:val="002747F1"/>
    <w:rsid w:val="00282FE5"/>
    <w:rsid w:val="002875BF"/>
    <w:rsid w:val="00292042"/>
    <w:rsid w:val="0029488E"/>
    <w:rsid w:val="002A149C"/>
    <w:rsid w:val="002A25A2"/>
    <w:rsid w:val="002A5381"/>
    <w:rsid w:val="002B01D1"/>
    <w:rsid w:val="002B46AD"/>
    <w:rsid w:val="002B69A0"/>
    <w:rsid w:val="002B7654"/>
    <w:rsid w:val="002C1D7B"/>
    <w:rsid w:val="002C39DA"/>
    <w:rsid w:val="002C703D"/>
    <w:rsid w:val="002D161B"/>
    <w:rsid w:val="002D27FC"/>
    <w:rsid w:val="002D399D"/>
    <w:rsid w:val="002F11E9"/>
    <w:rsid w:val="002F1C8C"/>
    <w:rsid w:val="002F385B"/>
    <w:rsid w:val="002F4247"/>
    <w:rsid w:val="002F62BD"/>
    <w:rsid w:val="002F7B7E"/>
    <w:rsid w:val="00310DA2"/>
    <w:rsid w:val="00312378"/>
    <w:rsid w:val="00315DB1"/>
    <w:rsid w:val="00324E82"/>
    <w:rsid w:val="00332189"/>
    <w:rsid w:val="0033498C"/>
    <w:rsid w:val="00335E1B"/>
    <w:rsid w:val="00340826"/>
    <w:rsid w:val="003421FD"/>
    <w:rsid w:val="00347522"/>
    <w:rsid w:val="00351CE2"/>
    <w:rsid w:val="00355280"/>
    <w:rsid w:val="00364148"/>
    <w:rsid w:val="003667F5"/>
    <w:rsid w:val="00371CAA"/>
    <w:rsid w:val="00374067"/>
    <w:rsid w:val="003836E3"/>
    <w:rsid w:val="00385A63"/>
    <w:rsid w:val="003864C7"/>
    <w:rsid w:val="00387A2A"/>
    <w:rsid w:val="00390FC5"/>
    <w:rsid w:val="003979FE"/>
    <w:rsid w:val="003A1D48"/>
    <w:rsid w:val="003A393B"/>
    <w:rsid w:val="003B09C4"/>
    <w:rsid w:val="003B0F6E"/>
    <w:rsid w:val="003B1670"/>
    <w:rsid w:val="003B33F0"/>
    <w:rsid w:val="003C2960"/>
    <w:rsid w:val="003D56A6"/>
    <w:rsid w:val="003E202C"/>
    <w:rsid w:val="003F21B4"/>
    <w:rsid w:val="004022F4"/>
    <w:rsid w:val="004039D1"/>
    <w:rsid w:val="00404DDE"/>
    <w:rsid w:val="00404F89"/>
    <w:rsid w:val="00406F86"/>
    <w:rsid w:val="004125C7"/>
    <w:rsid w:val="00413AC9"/>
    <w:rsid w:val="00415425"/>
    <w:rsid w:val="00420394"/>
    <w:rsid w:val="004240F2"/>
    <w:rsid w:val="00424BCF"/>
    <w:rsid w:val="00430920"/>
    <w:rsid w:val="00433EB4"/>
    <w:rsid w:val="00444FC8"/>
    <w:rsid w:val="0044520A"/>
    <w:rsid w:val="004462A0"/>
    <w:rsid w:val="00446DEB"/>
    <w:rsid w:val="00447FB0"/>
    <w:rsid w:val="00451720"/>
    <w:rsid w:val="004520E7"/>
    <w:rsid w:val="00454000"/>
    <w:rsid w:val="00457EE5"/>
    <w:rsid w:val="00460983"/>
    <w:rsid w:val="0046130F"/>
    <w:rsid w:val="00461D98"/>
    <w:rsid w:val="00470376"/>
    <w:rsid w:val="0047681B"/>
    <w:rsid w:val="004836BB"/>
    <w:rsid w:val="0048660E"/>
    <w:rsid w:val="004866CE"/>
    <w:rsid w:val="00486725"/>
    <w:rsid w:val="004A1CE2"/>
    <w:rsid w:val="004A52D4"/>
    <w:rsid w:val="004A715D"/>
    <w:rsid w:val="004A7210"/>
    <w:rsid w:val="004B57DA"/>
    <w:rsid w:val="004C1734"/>
    <w:rsid w:val="004C3535"/>
    <w:rsid w:val="004C5B3A"/>
    <w:rsid w:val="004C682C"/>
    <w:rsid w:val="004D0157"/>
    <w:rsid w:val="004D1F0B"/>
    <w:rsid w:val="004D21E8"/>
    <w:rsid w:val="004D3A63"/>
    <w:rsid w:val="004D774C"/>
    <w:rsid w:val="004E25C9"/>
    <w:rsid w:val="004E4099"/>
    <w:rsid w:val="004E7B9F"/>
    <w:rsid w:val="004F051D"/>
    <w:rsid w:val="004F07FA"/>
    <w:rsid w:val="004F162A"/>
    <w:rsid w:val="004F41D9"/>
    <w:rsid w:val="004F58ED"/>
    <w:rsid w:val="00500DAF"/>
    <w:rsid w:val="0050233B"/>
    <w:rsid w:val="00505A5C"/>
    <w:rsid w:val="00505FDA"/>
    <w:rsid w:val="005209BB"/>
    <w:rsid w:val="00520D65"/>
    <w:rsid w:val="0052144B"/>
    <w:rsid w:val="00530D2F"/>
    <w:rsid w:val="00545EED"/>
    <w:rsid w:val="00546D78"/>
    <w:rsid w:val="0054778C"/>
    <w:rsid w:val="0055314D"/>
    <w:rsid w:val="0056085F"/>
    <w:rsid w:val="00562AD7"/>
    <w:rsid w:val="00564691"/>
    <w:rsid w:val="00565BF7"/>
    <w:rsid w:val="005668A2"/>
    <w:rsid w:val="0057239D"/>
    <w:rsid w:val="005731AA"/>
    <w:rsid w:val="00575ECA"/>
    <w:rsid w:val="00580CFE"/>
    <w:rsid w:val="00587CE0"/>
    <w:rsid w:val="00591651"/>
    <w:rsid w:val="005A1FC9"/>
    <w:rsid w:val="005A2D59"/>
    <w:rsid w:val="005A452F"/>
    <w:rsid w:val="005A6723"/>
    <w:rsid w:val="005C1612"/>
    <w:rsid w:val="005C2067"/>
    <w:rsid w:val="005C2403"/>
    <w:rsid w:val="005C5449"/>
    <w:rsid w:val="005C5703"/>
    <w:rsid w:val="005D139E"/>
    <w:rsid w:val="005D6F7B"/>
    <w:rsid w:val="005E049B"/>
    <w:rsid w:val="005E285B"/>
    <w:rsid w:val="005E779D"/>
    <w:rsid w:val="005F1589"/>
    <w:rsid w:val="005F27CC"/>
    <w:rsid w:val="005F4969"/>
    <w:rsid w:val="0060156A"/>
    <w:rsid w:val="006053B8"/>
    <w:rsid w:val="00611AA7"/>
    <w:rsid w:val="00611C36"/>
    <w:rsid w:val="00612422"/>
    <w:rsid w:val="00622F42"/>
    <w:rsid w:val="00624F5A"/>
    <w:rsid w:val="00625C6B"/>
    <w:rsid w:val="0063040E"/>
    <w:rsid w:val="00632A78"/>
    <w:rsid w:val="00641EF9"/>
    <w:rsid w:val="00654A74"/>
    <w:rsid w:val="00654A9F"/>
    <w:rsid w:val="00666240"/>
    <w:rsid w:val="00667B73"/>
    <w:rsid w:val="0067284E"/>
    <w:rsid w:val="00674030"/>
    <w:rsid w:val="00675079"/>
    <w:rsid w:val="0068029E"/>
    <w:rsid w:val="0068152E"/>
    <w:rsid w:val="00686D94"/>
    <w:rsid w:val="00687CDC"/>
    <w:rsid w:val="0069030B"/>
    <w:rsid w:val="00690CB7"/>
    <w:rsid w:val="00692E83"/>
    <w:rsid w:val="006931AB"/>
    <w:rsid w:val="00694236"/>
    <w:rsid w:val="006A1DDB"/>
    <w:rsid w:val="006A51BC"/>
    <w:rsid w:val="006A59A8"/>
    <w:rsid w:val="006B03F2"/>
    <w:rsid w:val="006B1547"/>
    <w:rsid w:val="006B24C0"/>
    <w:rsid w:val="006B618E"/>
    <w:rsid w:val="006B7109"/>
    <w:rsid w:val="006C0DEF"/>
    <w:rsid w:val="006C1000"/>
    <w:rsid w:val="006C2EAF"/>
    <w:rsid w:val="006C784B"/>
    <w:rsid w:val="006D3942"/>
    <w:rsid w:val="006D39A3"/>
    <w:rsid w:val="006D4C54"/>
    <w:rsid w:val="006D5EC0"/>
    <w:rsid w:val="006E218A"/>
    <w:rsid w:val="006E25A3"/>
    <w:rsid w:val="006E4057"/>
    <w:rsid w:val="006E63B6"/>
    <w:rsid w:val="006E76E8"/>
    <w:rsid w:val="006F3025"/>
    <w:rsid w:val="00710811"/>
    <w:rsid w:val="0071217F"/>
    <w:rsid w:val="00717F70"/>
    <w:rsid w:val="00721162"/>
    <w:rsid w:val="007340F6"/>
    <w:rsid w:val="007402EE"/>
    <w:rsid w:val="00742820"/>
    <w:rsid w:val="00744122"/>
    <w:rsid w:val="00747E3C"/>
    <w:rsid w:val="00753ACB"/>
    <w:rsid w:val="00754846"/>
    <w:rsid w:val="00755182"/>
    <w:rsid w:val="00757BFB"/>
    <w:rsid w:val="0076253D"/>
    <w:rsid w:val="007667FA"/>
    <w:rsid w:val="007700AC"/>
    <w:rsid w:val="007750D1"/>
    <w:rsid w:val="007767FE"/>
    <w:rsid w:val="007802BE"/>
    <w:rsid w:val="0078110A"/>
    <w:rsid w:val="0078410A"/>
    <w:rsid w:val="0079072D"/>
    <w:rsid w:val="007928AE"/>
    <w:rsid w:val="00795CBA"/>
    <w:rsid w:val="007A1BE7"/>
    <w:rsid w:val="007A44AD"/>
    <w:rsid w:val="007A4B30"/>
    <w:rsid w:val="007A4B81"/>
    <w:rsid w:val="007C28D4"/>
    <w:rsid w:val="007C5257"/>
    <w:rsid w:val="007D0028"/>
    <w:rsid w:val="007D4492"/>
    <w:rsid w:val="007E2943"/>
    <w:rsid w:val="007F51A7"/>
    <w:rsid w:val="00801B20"/>
    <w:rsid w:val="008049B1"/>
    <w:rsid w:val="00805277"/>
    <w:rsid w:val="00817E5C"/>
    <w:rsid w:val="0082204F"/>
    <w:rsid w:val="008231DB"/>
    <w:rsid w:val="00826255"/>
    <w:rsid w:val="00834233"/>
    <w:rsid w:val="00835C48"/>
    <w:rsid w:val="00836D7F"/>
    <w:rsid w:val="00844CE2"/>
    <w:rsid w:val="00853C55"/>
    <w:rsid w:val="00863351"/>
    <w:rsid w:val="00871E86"/>
    <w:rsid w:val="008722B6"/>
    <w:rsid w:val="00872A79"/>
    <w:rsid w:val="008761F0"/>
    <w:rsid w:val="00877261"/>
    <w:rsid w:val="0088060E"/>
    <w:rsid w:val="0089241F"/>
    <w:rsid w:val="008947C1"/>
    <w:rsid w:val="008948EA"/>
    <w:rsid w:val="0089615E"/>
    <w:rsid w:val="008A2DD0"/>
    <w:rsid w:val="008A5B7D"/>
    <w:rsid w:val="008B260B"/>
    <w:rsid w:val="008C29E8"/>
    <w:rsid w:val="008C490D"/>
    <w:rsid w:val="008D4AF2"/>
    <w:rsid w:val="008E2020"/>
    <w:rsid w:val="008E3BC9"/>
    <w:rsid w:val="008F1556"/>
    <w:rsid w:val="008F2193"/>
    <w:rsid w:val="00902D90"/>
    <w:rsid w:val="00912638"/>
    <w:rsid w:val="00913CE3"/>
    <w:rsid w:val="00920845"/>
    <w:rsid w:val="009219E7"/>
    <w:rsid w:val="009230CD"/>
    <w:rsid w:val="00924138"/>
    <w:rsid w:val="00927614"/>
    <w:rsid w:val="00930697"/>
    <w:rsid w:val="00936318"/>
    <w:rsid w:val="009421F0"/>
    <w:rsid w:val="00943DAF"/>
    <w:rsid w:val="00945BB6"/>
    <w:rsid w:val="00946516"/>
    <w:rsid w:val="00946E65"/>
    <w:rsid w:val="00953EC3"/>
    <w:rsid w:val="009601E3"/>
    <w:rsid w:val="0096049E"/>
    <w:rsid w:val="009631D3"/>
    <w:rsid w:val="0096689D"/>
    <w:rsid w:val="00973F1C"/>
    <w:rsid w:val="00974C38"/>
    <w:rsid w:val="009764C7"/>
    <w:rsid w:val="00976C71"/>
    <w:rsid w:val="00977053"/>
    <w:rsid w:val="00980921"/>
    <w:rsid w:val="00986868"/>
    <w:rsid w:val="00993D57"/>
    <w:rsid w:val="00994CF9"/>
    <w:rsid w:val="00995DE7"/>
    <w:rsid w:val="009A0A77"/>
    <w:rsid w:val="009A1B15"/>
    <w:rsid w:val="009A1F19"/>
    <w:rsid w:val="009A51DE"/>
    <w:rsid w:val="009A69D1"/>
    <w:rsid w:val="009B1406"/>
    <w:rsid w:val="009B24C1"/>
    <w:rsid w:val="009B3816"/>
    <w:rsid w:val="009C1F76"/>
    <w:rsid w:val="009C499F"/>
    <w:rsid w:val="009C7DEE"/>
    <w:rsid w:val="009D3989"/>
    <w:rsid w:val="009D3E57"/>
    <w:rsid w:val="009D5435"/>
    <w:rsid w:val="009D558B"/>
    <w:rsid w:val="009D5A6D"/>
    <w:rsid w:val="009D7831"/>
    <w:rsid w:val="009E088A"/>
    <w:rsid w:val="009E1735"/>
    <w:rsid w:val="009E4C7E"/>
    <w:rsid w:val="009E564C"/>
    <w:rsid w:val="009E6D2D"/>
    <w:rsid w:val="009E7D09"/>
    <w:rsid w:val="009F6559"/>
    <w:rsid w:val="009F6827"/>
    <w:rsid w:val="009F750F"/>
    <w:rsid w:val="009F766D"/>
    <w:rsid w:val="009F7AFD"/>
    <w:rsid w:val="009F7CC0"/>
    <w:rsid w:val="00A008BF"/>
    <w:rsid w:val="00A02AA5"/>
    <w:rsid w:val="00A03696"/>
    <w:rsid w:val="00A109C7"/>
    <w:rsid w:val="00A16CA0"/>
    <w:rsid w:val="00A23ACC"/>
    <w:rsid w:val="00A263A1"/>
    <w:rsid w:val="00A317F9"/>
    <w:rsid w:val="00A34AD4"/>
    <w:rsid w:val="00A41037"/>
    <w:rsid w:val="00A43F6D"/>
    <w:rsid w:val="00A44E26"/>
    <w:rsid w:val="00A4564F"/>
    <w:rsid w:val="00A55FF7"/>
    <w:rsid w:val="00A56BAD"/>
    <w:rsid w:val="00A652B4"/>
    <w:rsid w:val="00A66B46"/>
    <w:rsid w:val="00A67421"/>
    <w:rsid w:val="00A72FF9"/>
    <w:rsid w:val="00A7523B"/>
    <w:rsid w:val="00A80968"/>
    <w:rsid w:val="00A80AA5"/>
    <w:rsid w:val="00A850F9"/>
    <w:rsid w:val="00A92B9D"/>
    <w:rsid w:val="00A935B0"/>
    <w:rsid w:val="00AA0D1B"/>
    <w:rsid w:val="00AA278A"/>
    <w:rsid w:val="00AA3D34"/>
    <w:rsid w:val="00AB7D87"/>
    <w:rsid w:val="00AC5EE0"/>
    <w:rsid w:val="00AD04D6"/>
    <w:rsid w:val="00AD3646"/>
    <w:rsid w:val="00AD4C12"/>
    <w:rsid w:val="00AD6F16"/>
    <w:rsid w:val="00AD7E70"/>
    <w:rsid w:val="00AE0915"/>
    <w:rsid w:val="00AE0F14"/>
    <w:rsid w:val="00AE5767"/>
    <w:rsid w:val="00AF00C8"/>
    <w:rsid w:val="00AF2E45"/>
    <w:rsid w:val="00AF6490"/>
    <w:rsid w:val="00AF75E1"/>
    <w:rsid w:val="00B00010"/>
    <w:rsid w:val="00B001A0"/>
    <w:rsid w:val="00B016C2"/>
    <w:rsid w:val="00B02240"/>
    <w:rsid w:val="00B03090"/>
    <w:rsid w:val="00B11532"/>
    <w:rsid w:val="00B136DF"/>
    <w:rsid w:val="00B14904"/>
    <w:rsid w:val="00B17AF8"/>
    <w:rsid w:val="00B20211"/>
    <w:rsid w:val="00B257C5"/>
    <w:rsid w:val="00B2761E"/>
    <w:rsid w:val="00B32862"/>
    <w:rsid w:val="00B339F6"/>
    <w:rsid w:val="00B347A5"/>
    <w:rsid w:val="00B35D72"/>
    <w:rsid w:val="00B40842"/>
    <w:rsid w:val="00B423B0"/>
    <w:rsid w:val="00B50995"/>
    <w:rsid w:val="00B5268D"/>
    <w:rsid w:val="00B54594"/>
    <w:rsid w:val="00B55CF6"/>
    <w:rsid w:val="00B55D3F"/>
    <w:rsid w:val="00B622C3"/>
    <w:rsid w:val="00B631B0"/>
    <w:rsid w:val="00B647F3"/>
    <w:rsid w:val="00B71CF4"/>
    <w:rsid w:val="00B73156"/>
    <w:rsid w:val="00B74D3C"/>
    <w:rsid w:val="00B77999"/>
    <w:rsid w:val="00B83250"/>
    <w:rsid w:val="00B87D23"/>
    <w:rsid w:val="00B900DE"/>
    <w:rsid w:val="00B92EAE"/>
    <w:rsid w:val="00B97E16"/>
    <w:rsid w:val="00BA0EEA"/>
    <w:rsid w:val="00BA1DCB"/>
    <w:rsid w:val="00BA56B9"/>
    <w:rsid w:val="00BA6BD8"/>
    <w:rsid w:val="00BC14B5"/>
    <w:rsid w:val="00BC16C7"/>
    <w:rsid w:val="00BC5E04"/>
    <w:rsid w:val="00BD1AA9"/>
    <w:rsid w:val="00BD43E3"/>
    <w:rsid w:val="00BD7D7C"/>
    <w:rsid w:val="00BE2C42"/>
    <w:rsid w:val="00BE46BB"/>
    <w:rsid w:val="00BE6191"/>
    <w:rsid w:val="00BF69DA"/>
    <w:rsid w:val="00C033C7"/>
    <w:rsid w:val="00C0777C"/>
    <w:rsid w:val="00C07D38"/>
    <w:rsid w:val="00C120F3"/>
    <w:rsid w:val="00C17C4F"/>
    <w:rsid w:val="00C220BB"/>
    <w:rsid w:val="00C25D40"/>
    <w:rsid w:val="00C27827"/>
    <w:rsid w:val="00C3073A"/>
    <w:rsid w:val="00C30F8D"/>
    <w:rsid w:val="00C3769E"/>
    <w:rsid w:val="00C50FDD"/>
    <w:rsid w:val="00C53B77"/>
    <w:rsid w:val="00C73534"/>
    <w:rsid w:val="00C90D0F"/>
    <w:rsid w:val="00C91E35"/>
    <w:rsid w:val="00C92086"/>
    <w:rsid w:val="00CA60F6"/>
    <w:rsid w:val="00CB6BD9"/>
    <w:rsid w:val="00CC05AC"/>
    <w:rsid w:val="00CC3889"/>
    <w:rsid w:val="00CC4CA9"/>
    <w:rsid w:val="00CC79DD"/>
    <w:rsid w:val="00CD3AC2"/>
    <w:rsid w:val="00CD59A1"/>
    <w:rsid w:val="00CD62A1"/>
    <w:rsid w:val="00CE5E54"/>
    <w:rsid w:val="00CF4033"/>
    <w:rsid w:val="00CF5444"/>
    <w:rsid w:val="00CF740F"/>
    <w:rsid w:val="00D017C8"/>
    <w:rsid w:val="00D04BB8"/>
    <w:rsid w:val="00D061DC"/>
    <w:rsid w:val="00D1529F"/>
    <w:rsid w:val="00D222BD"/>
    <w:rsid w:val="00D26B24"/>
    <w:rsid w:val="00D359CD"/>
    <w:rsid w:val="00D40EFC"/>
    <w:rsid w:val="00D417A9"/>
    <w:rsid w:val="00D44A6C"/>
    <w:rsid w:val="00D5325B"/>
    <w:rsid w:val="00D65654"/>
    <w:rsid w:val="00D66D0A"/>
    <w:rsid w:val="00D70F7A"/>
    <w:rsid w:val="00D73421"/>
    <w:rsid w:val="00D8539B"/>
    <w:rsid w:val="00D859B1"/>
    <w:rsid w:val="00D91CF8"/>
    <w:rsid w:val="00D925A8"/>
    <w:rsid w:val="00D96E2A"/>
    <w:rsid w:val="00D97801"/>
    <w:rsid w:val="00D9795E"/>
    <w:rsid w:val="00DA3A9D"/>
    <w:rsid w:val="00DA4F05"/>
    <w:rsid w:val="00DB0B3E"/>
    <w:rsid w:val="00DB2068"/>
    <w:rsid w:val="00DB3265"/>
    <w:rsid w:val="00DC20F9"/>
    <w:rsid w:val="00DC4EBA"/>
    <w:rsid w:val="00DC5DEA"/>
    <w:rsid w:val="00DD1147"/>
    <w:rsid w:val="00DD1736"/>
    <w:rsid w:val="00DD73BE"/>
    <w:rsid w:val="00DE4CEE"/>
    <w:rsid w:val="00DE5C0D"/>
    <w:rsid w:val="00DF5E14"/>
    <w:rsid w:val="00E02CD9"/>
    <w:rsid w:val="00E04427"/>
    <w:rsid w:val="00E06DE1"/>
    <w:rsid w:val="00E11CBF"/>
    <w:rsid w:val="00E16516"/>
    <w:rsid w:val="00E16562"/>
    <w:rsid w:val="00E1713D"/>
    <w:rsid w:val="00E2451F"/>
    <w:rsid w:val="00E30565"/>
    <w:rsid w:val="00E33D5A"/>
    <w:rsid w:val="00E34174"/>
    <w:rsid w:val="00E344E8"/>
    <w:rsid w:val="00E36AB0"/>
    <w:rsid w:val="00E4022C"/>
    <w:rsid w:val="00E41298"/>
    <w:rsid w:val="00E42669"/>
    <w:rsid w:val="00E55C65"/>
    <w:rsid w:val="00E563EC"/>
    <w:rsid w:val="00E626BF"/>
    <w:rsid w:val="00E66DB8"/>
    <w:rsid w:val="00E75AF7"/>
    <w:rsid w:val="00E834E5"/>
    <w:rsid w:val="00E87E2A"/>
    <w:rsid w:val="00E96168"/>
    <w:rsid w:val="00E97746"/>
    <w:rsid w:val="00E97CB7"/>
    <w:rsid w:val="00EA0494"/>
    <w:rsid w:val="00EA060E"/>
    <w:rsid w:val="00EA2D1A"/>
    <w:rsid w:val="00EA3CF4"/>
    <w:rsid w:val="00EA5FFE"/>
    <w:rsid w:val="00EB1C98"/>
    <w:rsid w:val="00EB24C6"/>
    <w:rsid w:val="00EB43AF"/>
    <w:rsid w:val="00EB4F78"/>
    <w:rsid w:val="00EB6181"/>
    <w:rsid w:val="00EB6D2F"/>
    <w:rsid w:val="00EC44BE"/>
    <w:rsid w:val="00ED247F"/>
    <w:rsid w:val="00EE2DCF"/>
    <w:rsid w:val="00EE3DDF"/>
    <w:rsid w:val="00EE48EE"/>
    <w:rsid w:val="00EF05D4"/>
    <w:rsid w:val="00EF1A8B"/>
    <w:rsid w:val="00EF26A6"/>
    <w:rsid w:val="00EF702E"/>
    <w:rsid w:val="00EF7A10"/>
    <w:rsid w:val="00F04298"/>
    <w:rsid w:val="00F04C91"/>
    <w:rsid w:val="00F04E94"/>
    <w:rsid w:val="00F10692"/>
    <w:rsid w:val="00F14517"/>
    <w:rsid w:val="00F20AC6"/>
    <w:rsid w:val="00F20B09"/>
    <w:rsid w:val="00F22723"/>
    <w:rsid w:val="00F22B94"/>
    <w:rsid w:val="00F2394F"/>
    <w:rsid w:val="00F328A5"/>
    <w:rsid w:val="00F3320E"/>
    <w:rsid w:val="00F336B1"/>
    <w:rsid w:val="00F342E2"/>
    <w:rsid w:val="00F34326"/>
    <w:rsid w:val="00F34A52"/>
    <w:rsid w:val="00F35C60"/>
    <w:rsid w:val="00F35F04"/>
    <w:rsid w:val="00F412C0"/>
    <w:rsid w:val="00F43DB3"/>
    <w:rsid w:val="00F44D1A"/>
    <w:rsid w:val="00F45A7B"/>
    <w:rsid w:val="00F62EB3"/>
    <w:rsid w:val="00F64A4D"/>
    <w:rsid w:val="00F70D24"/>
    <w:rsid w:val="00F829C7"/>
    <w:rsid w:val="00F9185B"/>
    <w:rsid w:val="00F92BE9"/>
    <w:rsid w:val="00F9371C"/>
    <w:rsid w:val="00F94FAF"/>
    <w:rsid w:val="00FA30C0"/>
    <w:rsid w:val="00FA4CF0"/>
    <w:rsid w:val="00FA65B1"/>
    <w:rsid w:val="00FA7A22"/>
    <w:rsid w:val="00FB4EFD"/>
    <w:rsid w:val="00FC4BFF"/>
    <w:rsid w:val="00FC7C34"/>
    <w:rsid w:val="00FD086C"/>
    <w:rsid w:val="00FD0B7D"/>
    <w:rsid w:val="00FD1318"/>
    <w:rsid w:val="00FD2839"/>
    <w:rsid w:val="00FD4EBA"/>
    <w:rsid w:val="00FE69F7"/>
    <w:rsid w:val="00FE7636"/>
    <w:rsid w:val="00FF34AA"/>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 w:type="paragraph" w:customStyle="1" w:styleId="Default">
    <w:name w:val="Default"/>
    <w:rsid w:val="00B50995"/>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EE3DD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 w:type="paragraph" w:customStyle="1" w:styleId="Default">
    <w:name w:val="Default"/>
    <w:rsid w:val="00B50995"/>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EE3DD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320">
      <w:bodyDiv w:val="1"/>
      <w:marLeft w:val="0"/>
      <w:marRight w:val="0"/>
      <w:marTop w:val="0"/>
      <w:marBottom w:val="0"/>
      <w:divBdr>
        <w:top w:val="none" w:sz="0" w:space="0" w:color="auto"/>
        <w:left w:val="none" w:sz="0" w:space="0" w:color="auto"/>
        <w:bottom w:val="none" w:sz="0" w:space="0" w:color="auto"/>
        <w:right w:val="none" w:sz="0" w:space="0" w:color="auto"/>
      </w:divBdr>
    </w:div>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21405437">
      <w:bodyDiv w:val="1"/>
      <w:marLeft w:val="0"/>
      <w:marRight w:val="0"/>
      <w:marTop w:val="0"/>
      <w:marBottom w:val="0"/>
      <w:divBdr>
        <w:top w:val="none" w:sz="0" w:space="0" w:color="auto"/>
        <w:left w:val="none" w:sz="0" w:space="0" w:color="auto"/>
        <w:bottom w:val="none" w:sz="0" w:space="0" w:color="auto"/>
        <w:right w:val="none" w:sz="0" w:space="0" w:color="auto"/>
      </w:divBdr>
    </w:div>
    <w:div w:id="259027241">
      <w:bodyDiv w:val="1"/>
      <w:marLeft w:val="0"/>
      <w:marRight w:val="0"/>
      <w:marTop w:val="0"/>
      <w:marBottom w:val="0"/>
      <w:divBdr>
        <w:top w:val="none" w:sz="0" w:space="0" w:color="auto"/>
        <w:left w:val="none" w:sz="0" w:space="0" w:color="auto"/>
        <w:bottom w:val="none" w:sz="0" w:space="0" w:color="auto"/>
        <w:right w:val="none" w:sz="0" w:space="0" w:color="auto"/>
      </w:divBdr>
    </w:div>
    <w:div w:id="350961607">
      <w:bodyDiv w:val="1"/>
      <w:marLeft w:val="0"/>
      <w:marRight w:val="0"/>
      <w:marTop w:val="0"/>
      <w:marBottom w:val="0"/>
      <w:divBdr>
        <w:top w:val="none" w:sz="0" w:space="0" w:color="auto"/>
        <w:left w:val="none" w:sz="0" w:space="0" w:color="auto"/>
        <w:bottom w:val="none" w:sz="0" w:space="0" w:color="auto"/>
        <w:right w:val="none" w:sz="0" w:space="0" w:color="auto"/>
      </w:divBdr>
    </w:div>
    <w:div w:id="626938622">
      <w:bodyDiv w:val="1"/>
      <w:marLeft w:val="0"/>
      <w:marRight w:val="0"/>
      <w:marTop w:val="0"/>
      <w:marBottom w:val="0"/>
      <w:divBdr>
        <w:top w:val="none" w:sz="0" w:space="0" w:color="auto"/>
        <w:left w:val="none" w:sz="0" w:space="0" w:color="auto"/>
        <w:bottom w:val="none" w:sz="0" w:space="0" w:color="auto"/>
        <w:right w:val="none" w:sz="0" w:space="0" w:color="auto"/>
      </w:divBdr>
    </w:div>
    <w:div w:id="705520931">
      <w:bodyDiv w:val="1"/>
      <w:marLeft w:val="0"/>
      <w:marRight w:val="0"/>
      <w:marTop w:val="0"/>
      <w:marBottom w:val="0"/>
      <w:divBdr>
        <w:top w:val="none" w:sz="0" w:space="0" w:color="auto"/>
        <w:left w:val="none" w:sz="0" w:space="0" w:color="auto"/>
        <w:bottom w:val="none" w:sz="0" w:space="0" w:color="auto"/>
        <w:right w:val="none" w:sz="0" w:space="0" w:color="auto"/>
      </w:divBdr>
    </w:div>
    <w:div w:id="1034649225">
      <w:bodyDiv w:val="1"/>
      <w:marLeft w:val="0"/>
      <w:marRight w:val="0"/>
      <w:marTop w:val="0"/>
      <w:marBottom w:val="0"/>
      <w:divBdr>
        <w:top w:val="none" w:sz="0" w:space="0" w:color="auto"/>
        <w:left w:val="none" w:sz="0" w:space="0" w:color="auto"/>
        <w:bottom w:val="none" w:sz="0" w:space="0" w:color="auto"/>
        <w:right w:val="none" w:sz="0" w:space="0" w:color="auto"/>
      </w:divBdr>
    </w:div>
    <w:div w:id="1059943271">
      <w:bodyDiv w:val="1"/>
      <w:marLeft w:val="0"/>
      <w:marRight w:val="0"/>
      <w:marTop w:val="0"/>
      <w:marBottom w:val="0"/>
      <w:divBdr>
        <w:top w:val="none" w:sz="0" w:space="0" w:color="auto"/>
        <w:left w:val="none" w:sz="0" w:space="0" w:color="auto"/>
        <w:bottom w:val="none" w:sz="0" w:space="0" w:color="auto"/>
        <w:right w:val="none" w:sz="0" w:space="0" w:color="auto"/>
      </w:divBdr>
    </w:div>
    <w:div w:id="1111165349">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1361322211">
      <w:bodyDiv w:val="1"/>
      <w:marLeft w:val="0"/>
      <w:marRight w:val="0"/>
      <w:marTop w:val="0"/>
      <w:marBottom w:val="0"/>
      <w:divBdr>
        <w:top w:val="none" w:sz="0" w:space="0" w:color="auto"/>
        <w:left w:val="none" w:sz="0" w:space="0" w:color="auto"/>
        <w:bottom w:val="none" w:sz="0" w:space="0" w:color="auto"/>
        <w:right w:val="none" w:sz="0" w:space="0" w:color="auto"/>
      </w:divBdr>
    </w:div>
    <w:div w:id="1437677729">
      <w:bodyDiv w:val="1"/>
      <w:marLeft w:val="0"/>
      <w:marRight w:val="0"/>
      <w:marTop w:val="0"/>
      <w:marBottom w:val="0"/>
      <w:divBdr>
        <w:top w:val="none" w:sz="0" w:space="0" w:color="auto"/>
        <w:left w:val="none" w:sz="0" w:space="0" w:color="auto"/>
        <w:bottom w:val="none" w:sz="0" w:space="0" w:color="auto"/>
        <w:right w:val="none" w:sz="0" w:space="0" w:color="auto"/>
      </w:divBdr>
    </w:div>
    <w:div w:id="1627470479">
      <w:bodyDiv w:val="1"/>
      <w:marLeft w:val="0"/>
      <w:marRight w:val="0"/>
      <w:marTop w:val="0"/>
      <w:marBottom w:val="0"/>
      <w:divBdr>
        <w:top w:val="none" w:sz="0" w:space="0" w:color="auto"/>
        <w:left w:val="none" w:sz="0" w:space="0" w:color="auto"/>
        <w:bottom w:val="none" w:sz="0" w:space="0" w:color="auto"/>
        <w:right w:val="none" w:sz="0" w:space="0" w:color="auto"/>
      </w:divBdr>
    </w:div>
    <w:div w:id="1706247819">
      <w:bodyDiv w:val="1"/>
      <w:marLeft w:val="0"/>
      <w:marRight w:val="0"/>
      <w:marTop w:val="0"/>
      <w:marBottom w:val="0"/>
      <w:divBdr>
        <w:top w:val="none" w:sz="0" w:space="0" w:color="auto"/>
        <w:left w:val="none" w:sz="0" w:space="0" w:color="auto"/>
        <w:bottom w:val="none" w:sz="0" w:space="0" w:color="auto"/>
        <w:right w:val="none" w:sz="0" w:space="0" w:color="auto"/>
      </w:divBdr>
    </w:div>
    <w:div w:id="205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payroll@doa.virginia.gov"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doa.virginia.gov/Payroll/Forms/GarnishmentVendorRequestForm.xlsx"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cid:image001.png@01D2D586.3508F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virginia.gov/Payroll/Forms/PaylinePATSecurityForm.pdf" TargetMode="External"/><Relationship Id="rId24" Type="http://schemas.openxmlformats.org/officeDocument/2006/relationships/hyperlink" Target="http://www.doa.virginia.gov/Payroll/Forms/GarnishmentVendorRequestForm.xlsx" TargetMode="External"/><Relationship Id="rId32" Type="http://schemas.openxmlformats.org/officeDocument/2006/relationships/hyperlink" Target="http://www.doa.virginia.gov/Admin_Services/CAPP/CAPP_Topics/50405.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cid:image001.png@01D2D585.9881DD60"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mailto:payroll@doa.virginia.gov" TargetMode="External"/><Relationship Id="rId19" Type="http://schemas.openxmlformats.org/officeDocument/2006/relationships/image" Target="media/image8.png"/><Relationship Id="rId31" Type="http://schemas.openxmlformats.org/officeDocument/2006/relationships/hyperlink" Target="http://www.doa.virginia.gov/Admin_Services/CAPP/CAPP_Topics/50405.pdf"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AFA1-615D-4EBA-9D1B-A02A6818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11</Pages>
  <Words>2414</Words>
  <Characters>13639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16021</CharactersWithSpaces>
  <SharedDoc>false</SharedDoc>
  <HLinks>
    <vt:vector size="30" baseType="variant">
      <vt:variant>
        <vt:i4>3342337</vt:i4>
      </vt:variant>
      <vt:variant>
        <vt:i4>9</vt:i4>
      </vt:variant>
      <vt:variant>
        <vt:i4>0</vt:i4>
      </vt:variant>
      <vt:variant>
        <vt:i4>5</vt:i4>
      </vt:variant>
      <vt:variant>
        <vt:lpwstr>mailto:Health%20Recons@doa.virginia.gov</vt:lpwstr>
      </vt:variant>
      <vt:variant>
        <vt:lpwstr/>
      </vt:variant>
      <vt:variant>
        <vt:i4>5701701</vt:i4>
      </vt:variant>
      <vt:variant>
        <vt:i4>6</vt:i4>
      </vt:variant>
      <vt:variant>
        <vt:i4>0</vt:i4>
      </vt:variant>
      <vt:variant>
        <vt:i4>5</vt:i4>
      </vt:variant>
      <vt:variant>
        <vt:lpwstr>http://www.cardinalproject.virginia.gov/Statewide Training/Simulations/GL332Simulation/toc0.html</vt:lpwstr>
      </vt:variant>
      <vt:variant>
        <vt:lpwstr/>
      </vt:variant>
      <vt:variant>
        <vt:i4>4980745</vt:i4>
      </vt:variant>
      <vt:variant>
        <vt:i4>3</vt:i4>
      </vt:variant>
      <vt:variant>
        <vt:i4>0</vt:i4>
      </vt:variant>
      <vt:variant>
        <vt:i4>5</vt:i4>
      </vt:variant>
      <vt:variant>
        <vt:lpwstr>http://www.cardinalproject.virginia.gov/Statewide Forms.shtml</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cp:lastModifiedBy>Attuso, Diana (DOA)</cp:lastModifiedBy>
  <cp:revision>2</cp:revision>
  <cp:lastPrinted>2017-05-25T22:49:00Z</cp:lastPrinted>
  <dcterms:created xsi:type="dcterms:W3CDTF">2017-05-30T11:37:00Z</dcterms:created>
  <dcterms:modified xsi:type="dcterms:W3CDTF">2017-05-30T11:37:00Z</dcterms:modified>
  <cp:category>Payroll Bulletin</cp:category>
</cp:coreProperties>
</file>