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196E82">
            <w:pPr>
              <w:pStyle w:val="Header"/>
              <w:rPr>
                <w:b/>
                <w:sz w:val="20"/>
              </w:rPr>
            </w:pPr>
            <w:r>
              <w:rPr>
                <w:b/>
                <w:sz w:val="20"/>
              </w:rPr>
              <w:t>Calendar Year 20</w:t>
            </w:r>
            <w:r w:rsidR="00666FEE">
              <w:rPr>
                <w:b/>
                <w:sz w:val="20"/>
              </w:rPr>
              <w:t>1</w:t>
            </w:r>
            <w:r w:rsidR="00196E82">
              <w:rPr>
                <w:b/>
                <w:sz w:val="20"/>
              </w:rPr>
              <w:t>7</w:t>
            </w:r>
          </w:p>
        </w:tc>
        <w:tc>
          <w:tcPr>
            <w:tcW w:w="3366" w:type="dxa"/>
            <w:tcBorders>
              <w:bottom w:val="double" w:sz="6" w:space="0" w:color="auto"/>
            </w:tcBorders>
          </w:tcPr>
          <w:p w:rsidR="00CF5444" w:rsidRDefault="00EA335F" w:rsidP="00544D83">
            <w:pPr>
              <w:pStyle w:val="Header"/>
              <w:jc w:val="center"/>
              <w:rPr>
                <w:b/>
                <w:sz w:val="20"/>
              </w:rPr>
            </w:pPr>
            <w:r>
              <w:rPr>
                <w:b/>
                <w:sz w:val="20"/>
              </w:rPr>
              <w:t xml:space="preserve">September </w:t>
            </w:r>
            <w:r w:rsidR="00544D83">
              <w:rPr>
                <w:b/>
                <w:sz w:val="20"/>
              </w:rPr>
              <w:t>7</w:t>
            </w:r>
            <w:r>
              <w:rPr>
                <w:b/>
                <w:sz w:val="20"/>
              </w:rPr>
              <w:t>, 2017</w:t>
            </w:r>
          </w:p>
        </w:tc>
        <w:tc>
          <w:tcPr>
            <w:tcW w:w="3366" w:type="dxa"/>
            <w:tcBorders>
              <w:bottom w:val="double" w:sz="6" w:space="0" w:color="auto"/>
            </w:tcBorders>
          </w:tcPr>
          <w:p w:rsidR="00CF5444" w:rsidRDefault="00CF5444" w:rsidP="00EA335F">
            <w:pPr>
              <w:pStyle w:val="Header"/>
              <w:jc w:val="right"/>
              <w:rPr>
                <w:b/>
                <w:sz w:val="20"/>
              </w:rPr>
            </w:pPr>
            <w:r>
              <w:rPr>
                <w:b/>
                <w:sz w:val="20"/>
              </w:rPr>
              <w:t>Volume 20</w:t>
            </w:r>
            <w:r w:rsidR="00666FEE">
              <w:rPr>
                <w:b/>
                <w:sz w:val="20"/>
              </w:rPr>
              <w:t>1</w:t>
            </w:r>
            <w:r w:rsidR="00196E82">
              <w:rPr>
                <w:b/>
                <w:sz w:val="20"/>
              </w:rPr>
              <w:t>7</w:t>
            </w:r>
            <w:r>
              <w:rPr>
                <w:b/>
                <w:sz w:val="20"/>
              </w:rPr>
              <w:t>-</w:t>
            </w:r>
            <w:r w:rsidR="007A1CB6">
              <w:rPr>
                <w:b/>
                <w:sz w:val="20"/>
              </w:rPr>
              <w:t>0</w:t>
            </w:r>
            <w:r w:rsidR="00EA335F">
              <w:rPr>
                <w:b/>
                <w:sz w:val="20"/>
              </w:rPr>
              <w:t>9</w:t>
            </w:r>
          </w:p>
        </w:tc>
      </w:tr>
    </w:tbl>
    <w:p w:rsidR="00CF5444" w:rsidRDefault="00CF5444">
      <w:pPr>
        <w:tabs>
          <w:tab w:val="left" w:pos="990"/>
        </w:tabs>
        <w:jc w:val="center"/>
      </w:pPr>
    </w:p>
    <w:tbl>
      <w:tblPr>
        <w:tblW w:w="0" w:type="auto"/>
        <w:tblLook w:val="01E0" w:firstRow="1" w:lastRow="1" w:firstColumn="1" w:lastColumn="1" w:noHBand="0" w:noVBand="0"/>
      </w:tblPr>
      <w:tblGrid>
        <w:gridCol w:w="2245"/>
        <w:gridCol w:w="4112"/>
        <w:gridCol w:w="3795"/>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6D1ACC" w:rsidRDefault="006D1ACC" w:rsidP="006D1ACC">
            <w:pPr>
              <w:numPr>
                <w:ilvl w:val="0"/>
                <w:numId w:val="2"/>
              </w:numPr>
              <w:tabs>
                <w:tab w:val="left" w:pos="990"/>
              </w:tabs>
              <w:spacing w:before="60"/>
              <w:ind w:left="547"/>
              <w:rPr>
                <w:b/>
                <w:sz w:val="20"/>
              </w:rPr>
            </w:pPr>
            <w:r>
              <w:rPr>
                <w:b/>
                <w:sz w:val="20"/>
              </w:rPr>
              <w:t>Internal Controls</w:t>
            </w:r>
          </w:p>
          <w:p w:rsidR="00AC2383" w:rsidRDefault="00AC2383" w:rsidP="00014DB8">
            <w:pPr>
              <w:numPr>
                <w:ilvl w:val="0"/>
                <w:numId w:val="2"/>
              </w:numPr>
              <w:tabs>
                <w:tab w:val="left" w:pos="990"/>
              </w:tabs>
              <w:spacing w:before="60"/>
              <w:ind w:left="547"/>
              <w:rPr>
                <w:b/>
                <w:sz w:val="20"/>
              </w:rPr>
            </w:pPr>
            <w:r w:rsidRPr="00AC21E2">
              <w:rPr>
                <w:b/>
                <w:sz w:val="20"/>
              </w:rPr>
              <w:t xml:space="preserve">General Guidelines for </w:t>
            </w:r>
            <w:r w:rsidR="00FB0D97">
              <w:rPr>
                <w:b/>
                <w:sz w:val="20"/>
              </w:rPr>
              <w:t>September</w:t>
            </w:r>
            <w:r w:rsidR="00595482" w:rsidRPr="00AC21E2">
              <w:rPr>
                <w:b/>
                <w:sz w:val="20"/>
              </w:rPr>
              <w:t xml:space="preserve"> 201</w:t>
            </w:r>
            <w:r w:rsidR="00196E82">
              <w:rPr>
                <w:b/>
                <w:sz w:val="20"/>
              </w:rPr>
              <w:t>7</w:t>
            </w:r>
            <w:r w:rsidR="00595482" w:rsidRPr="00AC21E2">
              <w:rPr>
                <w:b/>
                <w:sz w:val="20"/>
              </w:rPr>
              <w:t xml:space="preserve"> Salary Increase</w:t>
            </w:r>
          </w:p>
          <w:p w:rsidR="00EA335F" w:rsidRDefault="00EA335F" w:rsidP="00014DB8">
            <w:pPr>
              <w:numPr>
                <w:ilvl w:val="0"/>
                <w:numId w:val="2"/>
              </w:numPr>
              <w:tabs>
                <w:tab w:val="left" w:pos="990"/>
              </w:tabs>
              <w:spacing w:before="60"/>
              <w:ind w:left="547"/>
              <w:rPr>
                <w:b/>
                <w:sz w:val="20"/>
              </w:rPr>
            </w:pPr>
            <w:r>
              <w:rPr>
                <w:b/>
                <w:sz w:val="20"/>
              </w:rPr>
              <w:t>Optional Group Life Premium Update</w:t>
            </w:r>
          </w:p>
          <w:p w:rsidR="005C1C97" w:rsidRDefault="005C1C97" w:rsidP="005C1C97">
            <w:pPr>
              <w:numPr>
                <w:ilvl w:val="0"/>
                <w:numId w:val="2"/>
              </w:numPr>
              <w:tabs>
                <w:tab w:val="left" w:pos="990"/>
              </w:tabs>
              <w:spacing w:before="60"/>
              <w:ind w:left="547"/>
              <w:rPr>
                <w:b/>
                <w:sz w:val="20"/>
              </w:rPr>
            </w:pPr>
            <w:r>
              <w:rPr>
                <w:b/>
                <w:sz w:val="20"/>
              </w:rPr>
              <w:t>Payline Garnishment &amp; Vendor/Payee Request Reminders</w:t>
            </w:r>
          </w:p>
          <w:p w:rsidR="006A7717" w:rsidRDefault="006A7717" w:rsidP="005C1C97">
            <w:pPr>
              <w:numPr>
                <w:ilvl w:val="0"/>
                <w:numId w:val="2"/>
              </w:numPr>
              <w:tabs>
                <w:tab w:val="left" w:pos="990"/>
              </w:tabs>
              <w:spacing w:before="60"/>
              <w:ind w:left="547"/>
              <w:rPr>
                <w:b/>
                <w:sz w:val="20"/>
              </w:rPr>
            </w:pPr>
            <w:bookmarkStart w:id="0" w:name="_GoBack"/>
            <w:r>
              <w:rPr>
                <w:b/>
                <w:sz w:val="20"/>
              </w:rPr>
              <w:t>U053/U077 PMIS/CIPPS Data Discrepancy Reports</w:t>
            </w:r>
            <w:r w:rsidR="002F7E33">
              <w:rPr>
                <w:b/>
                <w:sz w:val="20"/>
              </w:rPr>
              <w:t xml:space="preserve"> Run</w:t>
            </w:r>
            <w:r>
              <w:rPr>
                <w:b/>
                <w:sz w:val="20"/>
              </w:rPr>
              <w:t xml:space="preserve"> Schedule</w:t>
            </w:r>
          </w:p>
          <w:bookmarkEnd w:id="0"/>
          <w:p w:rsidR="005C1C97" w:rsidRPr="00AC21E2" w:rsidRDefault="005C1C97" w:rsidP="005C1C97">
            <w:pPr>
              <w:tabs>
                <w:tab w:val="left" w:pos="990"/>
              </w:tabs>
              <w:spacing w:before="60"/>
              <w:ind w:left="547"/>
              <w:rPr>
                <w:b/>
                <w:sz w:val="20"/>
              </w:rPr>
            </w:pPr>
          </w:p>
          <w:p w:rsidR="00E64B6B" w:rsidRPr="00AC21E2" w:rsidRDefault="00E64B6B" w:rsidP="006F71BA">
            <w:pPr>
              <w:pStyle w:val="ListParagraph"/>
              <w:ind w:left="540"/>
              <w:rPr>
                <w:sz w:val="20"/>
              </w:rPr>
            </w:pP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Director                         Lora L. George</w:t>
            </w:r>
          </w:p>
          <w:p w:rsidR="0056085F" w:rsidRPr="00014DB8" w:rsidRDefault="00DF4DE7" w:rsidP="00014DB8">
            <w:pPr>
              <w:tabs>
                <w:tab w:val="left" w:pos="990"/>
              </w:tabs>
              <w:spacing w:before="120"/>
              <w:rPr>
                <w:szCs w:val="24"/>
              </w:rPr>
            </w:pPr>
            <w:r>
              <w:rPr>
                <w:sz w:val="20"/>
              </w:rPr>
              <w:t>Acting</w:t>
            </w:r>
            <w:r w:rsidR="0056085F" w:rsidRPr="00014DB8">
              <w:rPr>
                <w:sz w:val="20"/>
              </w:rPr>
              <w:t xml:space="preserve"> Director          </w:t>
            </w:r>
            <w:r>
              <w:rPr>
                <w:sz w:val="20"/>
              </w:rPr>
              <w:t xml:space="preserve">    </w:t>
            </w:r>
            <w:r w:rsidR="0056085F" w:rsidRPr="00014DB8">
              <w:rPr>
                <w:sz w:val="20"/>
              </w:rPr>
              <w:t>Cathy C. McGill</w:t>
            </w:r>
          </w:p>
        </w:tc>
      </w:tr>
    </w:tbl>
    <w:p w:rsidR="006D1ACC" w:rsidRPr="009B10A2" w:rsidRDefault="006D1ACC" w:rsidP="006D1ACC">
      <w:pPr>
        <w:pStyle w:val="BlockLine"/>
        <w:spacing w:before="120"/>
        <w:ind w:left="1354"/>
        <w:rPr>
          <w:sz w:val="16"/>
          <w:szCs w:val="16"/>
        </w:rPr>
      </w:pPr>
    </w:p>
    <w:p w:rsidR="006D1ACC" w:rsidRPr="009937C2" w:rsidRDefault="006D1ACC" w:rsidP="006D1ACC">
      <w:pPr>
        <w:rPr>
          <w:b/>
          <w:sz w:val="28"/>
          <w:szCs w:val="28"/>
        </w:rPr>
      </w:pPr>
      <w:r>
        <w:rPr>
          <w:b/>
          <w:sz w:val="28"/>
          <w:szCs w:val="28"/>
        </w:rPr>
        <w:t>Internal Controls</w:t>
      </w:r>
    </w:p>
    <w:p w:rsidR="006D1ACC" w:rsidRPr="009B10A2" w:rsidRDefault="006D1ACC" w:rsidP="006D1ACC">
      <w:pPr>
        <w:pStyle w:val="BlockLine"/>
        <w:spacing w:before="120"/>
        <w:ind w:left="1354"/>
        <w:rPr>
          <w:sz w:val="16"/>
          <w:szCs w:val="16"/>
        </w:rPr>
      </w:pPr>
    </w:p>
    <w:tbl>
      <w:tblPr>
        <w:tblW w:w="10188" w:type="dxa"/>
        <w:tblLayout w:type="fixed"/>
        <w:tblLook w:val="0000" w:firstRow="0" w:lastRow="0" w:firstColumn="0" w:lastColumn="0" w:noHBand="0" w:noVBand="0"/>
      </w:tblPr>
      <w:tblGrid>
        <w:gridCol w:w="1728"/>
        <w:gridCol w:w="8460"/>
      </w:tblGrid>
      <w:tr w:rsidR="006D1ACC" w:rsidTr="003E1E06">
        <w:trPr>
          <w:cantSplit/>
        </w:trPr>
        <w:tc>
          <w:tcPr>
            <w:tcW w:w="1728" w:type="dxa"/>
          </w:tcPr>
          <w:p w:rsidR="006D1ACC" w:rsidRDefault="006D1ACC" w:rsidP="003E1E06">
            <w:pPr>
              <w:pStyle w:val="Heading5"/>
            </w:pPr>
            <w:r>
              <w:t>Data Entry</w:t>
            </w:r>
          </w:p>
        </w:tc>
        <w:tc>
          <w:tcPr>
            <w:tcW w:w="8460" w:type="dxa"/>
          </w:tcPr>
          <w:p w:rsidR="006D1ACC" w:rsidRPr="000279EA" w:rsidRDefault="00751173" w:rsidP="0049785C">
            <w:pPr>
              <w:pStyle w:val="Default"/>
              <w:rPr>
                <w:rFonts w:ascii="Times New Roman" w:hAnsi="Times New Roman" w:cs="Times New Roman"/>
                <w:sz w:val="22"/>
                <w:szCs w:val="22"/>
              </w:rPr>
            </w:pPr>
            <w:r w:rsidRPr="000279EA">
              <w:rPr>
                <w:rFonts w:ascii="Times New Roman" w:hAnsi="Times New Roman" w:cs="Times New Roman"/>
                <w:sz w:val="22"/>
                <w:szCs w:val="22"/>
              </w:rPr>
              <w:t xml:space="preserve">Changes made to master file records in CIPPS directly impact employees’ pay.  </w:t>
            </w:r>
            <w:r w:rsidR="006D1ACC" w:rsidRPr="000279EA">
              <w:rPr>
                <w:rFonts w:ascii="Times New Roman" w:hAnsi="Times New Roman" w:cs="Times New Roman"/>
                <w:sz w:val="22"/>
                <w:szCs w:val="22"/>
              </w:rPr>
              <w:t xml:space="preserve">Documentation supporting all changes made in CIPPS must be completed and authorized prior to data entry. </w:t>
            </w:r>
            <w:r w:rsidRPr="000279EA">
              <w:rPr>
                <w:rFonts w:ascii="Times New Roman" w:hAnsi="Times New Roman" w:cs="Times New Roman"/>
                <w:sz w:val="22"/>
                <w:szCs w:val="22"/>
              </w:rPr>
              <w:t>Once the change has been entered, it should be reviewed by a second person to ensure accuracy and completeness.  T</w:t>
            </w:r>
            <w:r w:rsidR="006D1ACC" w:rsidRPr="000279EA">
              <w:rPr>
                <w:rFonts w:ascii="Times New Roman" w:hAnsi="Times New Roman" w:cs="Times New Roman"/>
                <w:sz w:val="22"/>
                <w:szCs w:val="22"/>
              </w:rPr>
              <w:t>his is especially true regarding changes made to employee direct deposit deductions</w:t>
            </w:r>
            <w:r w:rsidRPr="000279EA">
              <w:rPr>
                <w:rFonts w:ascii="Times New Roman" w:hAnsi="Times New Roman" w:cs="Times New Roman"/>
                <w:sz w:val="22"/>
                <w:szCs w:val="22"/>
              </w:rPr>
              <w:t>/bank account information</w:t>
            </w:r>
            <w:r w:rsidR="006D1ACC" w:rsidRPr="000279EA">
              <w:rPr>
                <w:rFonts w:ascii="Times New Roman" w:hAnsi="Times New Roman" w:cs="Times New Roman"/>
                <w:sz w:val="22"/>
                <w:szCs w:val="22"/>
              </w:rPr>
              <w:t>.</w:t>
            </w:r>
            <w:r w:rsidRPr="000279EA">
              <w:rPr>
                <w:rFonts w:ascii="Times New Roman" w:hAnsi="Times New Roman" w:cs="Times New Roman"/>
                <w:sz w:val="22"/>
                <w:szCs w:val="22"/>
              </w:rPr>
              <w:t xml:space="preserve">  One wrong digit may </w:t>
            </w:r>
            <w:r w:rsidR="0049785C">
              <w:rPr>
                <w:rFonts w:ascii="Times New Roman" w:hAnsi="Times New Roman" w:cs="Times New Roman"/>
                <w:sz w:val="22"/>
                <w:szCs w:val="22"/>
              </w:rPr>
              <w:t xml:space="preserve">add several days beyond pay day to </w:t>
            </w:r>
            <w:r w:rsidRPr="000279EA">
              <w:rPr>
                <w:rFonts w:ascii="Times New Roman" w:hAnsi="Times New Roman" w:cs="Times New Roman"/>
                <w:sz w:val="22"/>
                <w:szCs w:val="22"/>
              </w:rPr>
              <w:t xml:space="preserve">posting </w:t>
            </w:r>
            <w:r w:rsidR="0049785C">
              <w:rPr>
                <w:rFonts w:ascii="Times New Roman" w:hAnsi="Times New Roman" w:cs="Times New Roman"/>
                <w:sz w:val="22"/>
                <w:szCs w:val="22"/>
              </w:rPr>
              <w:t xml:space="preserve">of </w:t>
            </w:r>
            <w:r w:rsidRPr="000279EA">
              <w:rPr>
                <w:rFonts w:ascii="Times New Roman" w:hAnsi="Times New Roman" w:cs="Times New Roman"/>
                <w:sz w:val="22"/>
                <w:szCs w:val="22"/>
              </w:rPr>
              <w:t xml:space="preserve">the credit to the employee’s account.  </w:t>
            </w:r>
            <w:r w:rsidR="002B71D7" w:rsidRPr="000279EA">
              <w:rPr>
                <w:rFonts w:ascii="Times New Roman" w:hAnsi="Times New Roman" w:cs="Times New Roman"/>
                <w:sz w:val="22"/>
                <w:szCs w:val="22"/>
              </w:rPr>
              <w:t xml:space="preserve">Another example where review is essential is on applications for the pay card.  </w:t>
            </w:r>
            <w:r w:rsidR="006D1ACC" w:rsidRPr="000279EA">
              <w:rPr>
                <w:rFonts w:ascii="Times New Roman" w:hAnsi="Times New Roman" w:cs="Times New Roman"/>
                <w:sz w:val="22"/>
                <w:szCs w:val="22"/>
              </w:rPr>
              <w:t xml:space="preserve">Applications should be carefully reviewed for legibility and completeness before faxing to DOA.  In-house policy and procedures governing the data entry and review processes should be developed and documented. All applicable forms/applications used to establish an employee record or to change the current information must be maintained by the agency for audit purposes. </w:t>
            </w:r>
          </w:p>
        </w:tc>
      </w:tr>
    </w:tbl>
    <w:p w:rsidR="006D1ACC" w:rsidRPr="000279EA" w:rsidRDefault="006D1ACC" w:rsidP="006D1ACC">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6D1ACC" w:rsidTr="003E1E06">
        <w:trPr>
          <w:cantSplit/>
        </w:trPr>
        <w:tc>
          <w:tcPr>
            <w:tcW w:w="1728" w:type="dxa"/>
          </w:tcPr>
          <w:p w:rsidR="006D1ACC" w:rsidRDefault="006D1ACC" w:rsidP="003E1E06">
            <w:pPr>
              <w:pStyle w:val="Heading5"/>
            </w:pPr>
            <w:r>
              <w:t>Certification</w:t>
            </w:r>
          </w:p>
        </w:tc>
        <w:tc>
          <w:tcPr>
            <w:tcW w:w="8460" w:type="dxa"/>
          </w:tcPr>
          <w:p w:rsidR="006D1ACC" w:rsidRPr="000279EA" w:rsidRDefault="006D1ACC" w:rsidP="003E1E06">
            <w:pPr>
              <w:autoSpaceDE w:val="0"/>
              <w:autoSpaceDN w:val="0"/>
              <w:adjustRightInd w:val="0"/>
              <w:rPr>
                <w:color w:val="000000"/>
                <w:sz w:val="22"/>
                <w:szCs w:val="22"/>
              </w:rPr>
            </w:pPr>
            <w:r w:rsidRPr="000279EA">
              <w:rPr>
                <w:color w:val="000000"/>
                <w:sz w:val="22"/>
                <w:szCs w:val="22"/>
              </w:rPr>
              <w:t>Accuracy and proper authorization of changes are the goa</w:t>
            </w:r>
            <w:r w:rsidR="00207D3F" w:rsidRPr="000279EA">
              <w:rPr>
                <w:color w:val="000000"/>
                <w:sz w:val="22"/>
                <w:szCs w:val="22"/>
              </w:rPr>
              <w:t xml:space="preserve">l in the certification process.  </w:t>
            </w:r>
            <w:r w:rsidR="000279EA" w:rsidRPr="000279EA">
              <w:rPr>
                <w:color w:val="000000"/>
                <w:sz w:val="22"/>
                <w:szCs w:val="22"/>
              </w:rPr>
              <w:t>In addition to confirming that the amounts are correct, c</w:t>
            </w:r>
            <w:r w:rsidR="00207D3F" w:rsidRPr="000279EA">
              <w:rPr>
                <w:color w:val="000000"/>
                <w:sz w:val="22"/>
                <w:szCs w:val="22"/>
              </w:rPr>
              <w:t>ertifiers and reviewers sh</w:t>
            </w:r>
            <w:r w:rsidR="000279EA" w:rsidRPr="000279EA">
              <w:rPr>
                <w:color w:val="000000"/>
                <w:sz w:val="22"/>
                <w:szCs w:val="22"/>
              </w:rPr>
              <w:t>ould verify that the frequency, pay period and check date are also valid.</w:t>
            </w:r>
            <w:r w:rsidR="0049785C">
              <w:rPr>
                <w:color w:val="000000"/>
                <w:sz w:val="22"/>
                <w:szCs w:val="22"/>
              </w:rPr>
              <w:t xml:space="preserve"> Report 2001 can be used to compare final cert to the most recent edit information.</w:t>
            </w:r>
          </w:p>
          <w:p w:rsidR="006D1ACC" w:rsidRPr="0049785C" w:rsidRDefault="006D1ACC" w:rsidP="003E1E06">
            <w:pPr>
              <w:autoSpaceDE w:val="0"/>
              <w:autoSpaceDN w:val="0"/>
              <w:adjustRightInd w:val="0"/>
              <w:rPr>
                <w:color w:val="000000"/>
                <w:sz w:val="16"/>
                <w:szCs w:val="16"/>
              </w:rPr>
            </w:pPr>
          </w:p>
          <w:p w:rsidR="006D1ACC" w:rsidRPr="000279EA" w:rsidRDefault="006D1ACC" w:rsidP="003E1E06">
            <w:pPr>
              <w:autoSpaceDE w:val="0"/>
              <w:autoSpaceDN w:val="0"/>
              <w:adjustRightInd w:val="0"/>
              <w:rPr>
                <w:color w:val="000000"/>
                <w:sz w:val="22"/>
                <w:szCs w:val="22"/>
              </w:rPr>
            </w:pPr>
            <w:r w:rsidRPr="000279EA">
              <w:rPr>
                <w:color w:val="000000"/>
                <w:sz w:val="22"/>
                <w:szCs w:val="22"/>
              </w:rPr>
              <w:t>Agencies must have policies and procedures governing the certification process. The following are the minimum guidelines to use when developing your policies:</w:t>
            </w:r>
          </w:p>
          <w:p w:rsidR="006D1ACC" w:rsidRPr="000279EA" w:rsidRDefault="006D1ACC" w:rsidP="003E1E06">
            <w:pPr>
              <w:pStyle w:val="ListParagraph"/>
              <w:numPr>
                <w:ilvl w:val="0"/>
                <w:numId w:val="9"/>
              </w:numPr>
              <w:autoSpaceDE w:val="0"/>
              <w:autoSpaceDN w:val="0"/>
              <w:adjustRightInd w:val="0"/>
              <w:rPr>
                <w:color w:val="000000"/>
                <w:sz w:val="22"/>
                <w:szCs w:val="22"/>
              </w:rPr>
            </w:pPr>
            <w:r w:rsidRPr="000279EA">
              <w:rPr>
                <w:color w:val="000000"/>
                <w:sz w:val="22"/>
                <w:szCs w:val="22"/>
              </w:rPr>
              <w:t>The person responsible for data entry of the payroll cannot be the person responsible for certification of the payroll,</w:t>
            </w:r>
          </w:p>
          <w:p w:rsidR="006D1ACC" w:rsidRPr="000279EA" w:rsidRDefault="006D1ACC" w:rsidP="003E1E06">
            <w:pPr>
              <w:pStyle w:val="ListParagraph"/>
              <w:numPr>
                <w:ilvl w:val="0"/>
                <w:numId w:val="9"/>
              </w:numPr>
              <w:autoSpaceDE w:val="0"/>
              <w:autoSpaceDN w:val="0"/>
              <w:adjustRightInd w:val="0"/>
              <w:rPr>
                <w:color w:val="000000"/>
                <w:sz w:val="22"/>
                <w:szCs w:val="22"/>
              </w:rPr>
            </w:pPr>
            <w:r w:rsidRPr="000279EA">
              <w:rPr>
                <w:color w:val="000000"/>
                <w:sz w:val="22"/>
                <w:szCs w:val="22"/>
              </w:rPr>
              <w:t>A second person should review the certification once it has been entered to ensure all information is correct,</w:t>
            </w:r>
          </w:p>
          <w:p w:rsidR="006D1ACC" w:rsidRPr="000279EA" w:rsidRDefault="006D1ACC" w:rsidP="003E1E06">
            <w:pPr>
              <w:pStyle w:val="ListParagraph"/>
              <w:numPr>
                <w:ilvl w:val="0"/>
                <w:numId w:val="9"/>
              </w:numPr>
              <w:autoSpaceDE w:val="0"/>
              <w:autoSpaceDN w:val="0"/>
              <w:adjustRightInd w:val="0"/>
              <w:rPr>
                <w:color w:val="000000"/>
                <w:sz w:val="22"/>
                <w:szCs w:val="22"/>
              </w:rPr>
            </w:pPr>
            <w:r w:rsidRPr="000279EA">
              <w:rPr>
                <w:color w:val="000000"/>
                <w:sz w:val="22"/>
                <w:szCs w:val="22"/>
              </w:rPr>
              <w:t>Assign a primary certifier and a backup in cases when the primary certifier is not available,</w:t>
            </w:r>
          </w:p>
          <w:p w:rsidR="006D1ACC" w:rsidRPr="000279EA" w:rsidRDefault="006D1ACC" w:rsidP="003E1E06">
            <w:pPr>
              <w:pStyle w:val="ListParagraph"/>
              <w:numPr>
                <w:ilvl w:val="0"/>
                <w:numId w:val="9"/>
              </w:numPr>
              <w:autoSpaceDE w:val="0"/>
              <w:autoSpaceDN w:val="0"/>
              <w:adjustRightInd w:val="0"/>
              <w:rPr>
                <w:color w:val="000000"/>
                <w:sz w:val="22"/>
                <w:szCs w:val="22"/>
              </w:rPr>
            </w:pPr>
            <w:r w:rsidRPr="000279EA">
              <w:rPr>
                <w:color w:val="000000"/>
                <w:sz w:val="22"/>
                <w:szCs w:val="22"/>
              </w:rPr>
              <w:t>Steps should be taken to ensure that unauthorized personnel do not breach the certification security, and that security is continuously updated.</w:t>
            </w:r>
          </w:p>
          <w:p w:rsidR="006D1ACC" w:rsidRPr="000279EA" w:rsidRDefault="006D1ACC" w:rsidP="003E1E06">
            <w:pPr>
              <w:pStyle w:val="ListParagraph"/>
              <w:numPr>
                <w:ilvl w:val="0"/>
                <w:numId w:val="9"/>
              </w:numPr>
              <w:autoSpaceDE w:val="0"/>
              <w:autoSpaceDN w:val="0"/>
              <w:adjustRightInd w:val="0"/>
              <w:rPr>
                <w:color w:val="000000"/>
                <w:sz w:val="22"/>
                <w:szCs w:val="22"/>
              </w:rPr>
            </w:pPr>
            <w:r w:rsidRPr="000279EA">
              <w:rPr>
                <w:color w:val="000000"/>
                <w:sz w:val="22"/>
                <w:szCs w:val="22"/>
              </w:rPr>
              <w:t>Agencies should have at a minimum a primary certifier and a backup certifier, in case the primary certifier is unavailable.</w:t>
            </w:r>
          </w:p>
          <w:p w:rsidR="006D1ACC" w:rsidRPr="000279EA" w:rsidRDefault="006D1ACC" w:rsidP="003E1E06">
            <w:pPr>
              <w:pStyle w:val="ListParagraph"/>
              <w:autoSpaceDE w:val="0"/>
              <w:autoSpaceDN w:val="0"/>
              <w:adjustRightInd w:val="0"/>
              <w:ind w:left="1020"/>
              <w:rPr>
                <w:color w:val="000000"/>
                <w:sz w:val="22"/>
                <w:szCs w:val="22"/>
              </w:rPr>
            </w:pPr>
          </w:p>
          <w:p w:rsidR="006D1ACC" w:rsidRDefault="006D1ACC" w:rsidP="00C0106C">
            <w:pPr>
              <w:autoSpaceDE w:val="0"/>
              <w:autoSpaceDN w:val="0"/>
              <w:adjustRightInd w:val="0"/>
            </w:pPr>
            <w:r w:rsidRPr="000279EA">
              <w:rPr>
                <w:color w:val="000000"/>
                <w:sz w:val="22"/>
                <w:szCs w:val="22"/>
              </w:rPr>
              <w:t xml:space="preserve">Insufficient coverage for certification or gross pay differences greater than $20,000 may lead to </w:t>
            </w:r>
            <w:r w:rsidR="00C0106C" w:rsidRPr="000279EA">
              <w:rPr>
                <w:color w:val="000000"/>
                <w:sz w:val="22"/>
                <w:szCs w:val="22"/>
              </w:rPr>
              <w:t>mention</w:t>
            </w:r>
            <w:r w:rsidRPr="000279EA">
              <w:rPr>
                <w:color w:val="000000"/>
                <w:sz w:val="22"/>
                <w:szCs w:val="22"/>
              </w:rPr>
              <w:t xml:space="preserve"> in the 'Report on Statewide Financial Management and Compliance', commonly known as the Quarterly Report.</w:t>
            </w:r>
          </w:p>
        </w:tc>
      </w:tr>
    </w:tbl>
    <w:p w:rsidR="00612C46" w:rsidRDefault="00612C46" w:rsidP="00612C46">
      <w:pPr>
        <w:pStyle w:val="BlockLine"/>
        <w:ind w:left="1620"/>
      </w:pPr>
    </w:p>
    <w:p w:rsidR="00AC2383" w:rsidRPr="00EF2B82" w:rsidRDefault="00AC2383" w:rsidP="00AC2383">
      <w:pPr>
        <w:pStyle w:val="MapTitleContinued"/>
        <w:spacing w:after="0"/>
        <w:outlineLvl w:val="0"/>
        <w:rPr>
          <w:rFonts w:ascii="Times New Roman" w:hAnsi="Times New Roman"/>
          <w:sz w:val="28"/>
          <w:szCs w:val="28"/>
        </w:rPr>
      </w:pPr>
      <w:r w:rsidRPr="00EF2B82">
        <w:rPr>
          <w:rFonts w:ascii="Times New Roman" w:hAnsi="Times New Roman"/>
          <w:sz w:val="28"/>
          <w:szCs w:val="28"/>
        </w:rPr>
        <w:lastRenderedPageBreak/>
        <w:t xml:space="preserve">General Guidelines for </w:t>
      </w:r>
      <w:r w:rsidR="00FB0D97">
        <w:rPr>
          <w:rFonts w:ascii="Times New Roman" w:hAnsi="Times New Roman"/>
          <w:sz w:val="28"/>
          <w:szCs w:val="28"/>
        </w:rPr>
        <w:t>September</w:t>
      </w:r>
      <w:r w:rsidR="00196E82">
        <w:rPr>
          <w:rFonts w:ascii="Times New Roman" w:hAnsi="Times New Roman"/>
          <w:sz w:val="28"/>
          <w:szCs w:val="28"/>
        </w:rPr>
        <w:t xml:space="preserve"> 2017</w:t>
      </w:r>
      <w:r w:rsidR="008601F2">
        <w:rPr>
          <w:rFonts w:ascii="Times New Roman" w:hAnsi="Times New Roman"/>
          <w:sz w:val="28"/>
          <w:szCs w:val="28"/>
        </w:rPr>
        <w:t xml:space="preserve"> Salary Increase</w:t>
      </w:r>
    </w:p>
    <w:p w:rsidR="00700615" w:rsidRPr="005B3E5E" w:rsidRDefault="00700615" w:rsidP="005B3E5E">
      <w:pPr>
        <w:pStyle w:val="BlockLine"/>
        <w:spacing w:before="120"/>
        <w:ind w:left="1627"/>
        <w:rPr>
          <w:sz w:val="20"/>
        </w:rPr>
      </w:pPr>
    </w:p>
    <w:tbl>
      <w:tblPr>
        <w:tblW w:w="10188" w:type="dxa"/>
        <w:tblLayout w:type="fixed"/>
        <w:tblLook w:val="0000" w:firstRow="0" w:lastRow="0" w:firstColumn="0" w:lastColumn="0" w:noHBand="0" w:noVBand="0"/>
      </w:tblPr>
      <w:tblGrid>
        <w:gridCol w:w="1818"/>
        <w:gridCol w:w="8370"/>
      </w:tblGrid>
      <w:tr w:rsidR="00FB28AA" w:rsidTr="009170A0">
        <w:trPr>
          <w:cantSplit/>
        </w:trPr>
        <w:tc>
          <w:tcPr>
            <w:tcW w:w="1818" w:type="dxa"/>
          </w:tcPr>
          <w:p w:rsidR="00FB28AA" w:rsidRDefault="00FB28AA" w:rsidP="00484094">
            <w:pPr>
              <w:pStyle w:val="Heading5"/>
            </w:pPr>
            <w:r>
              <w:rPr>
                <w:rFonts w:ascii="Times New Roman Bold" w:hAnsi="Times New Roman Bold"/>
                <w:b w:val="0"/>
                <w:szCs w:val="24"/>
              </w:rPr>
              <w:t>Agencies Using PMIS</w:t>
            </w:r>
          </w:p>
        </w:tc>
        <w:tc>
          <w:tcPr>
            <w:tcW w:w="8370" w:type="dxa"/>
          </w:tcPr>
          <w:p w:rsidR="003A44B8" w:rsidRDefault="003A44B8" w:rsidP="004072E7">
            <w:pPr>
              <w:autoSpaceDE w:val="0"/>
              <w:autoSpaceDN w:val="0"/>
              <w:adjustRightInd w:val="0"/>
            </w:pPr>
            <w:r>
              <w:t xml:space="preserve">As stated in the </w:t>
            </w:r>
            <w:hyperlink r:id="rId9" w:history="1">
              <w:r w:rsidRPr="003A44B8">
                <w:rPr>
                  <w:rStyle w:val="Hyperlink"/>
                </w:rPr>
                <w:t>DHRM Compensation Memo</w:t>
              </w:r>
            </w:hyperlink>
            <w:r>
              <w:t xml:space="preserve"> dated May 11, 2017 eligible employees will receive a</w:t>
            </w:r>
            <w:r w:rsidR="002440F5">
              <w:t>n additional</w:t>
            </w:r>
            <w:r>
              <w:t xml:space="preserve"> 2% salary increase effective 9/10/2017.</w:t>
            </w:r>
          </w:p>
          <w:p w:rsidR="003A44B8" w:rsidRDefault="003A44B8" w:rsidP="004072E7">
            <w:pPr>
              <w:autoSpaceDE w:val="0"/>
              <w:autoSpaceDN w:val="0"/>
              <w:adjustRightInd w:val="0"/>
            </w:pPr>
            <w:r>
              <w:t xml:space="preserve"> </w:t>
            </w:r>
          </w:p>
          <w:p w:rsidR="00FB28AA" w:rsidRPr="003B2B96" w:rsidRDefault="00FB28AA" w:rsidP="004072E7">
            <w:pPr>
              <w:autoSpaceDE w:val="0"/>
              <w:autoSpaceDN w:val="0"/>
              <w:adjustRightInd w:val="0"/>
              <w:rPr>
                <w:iCs/>
                <w:szCs w:val="24"/>
              </w:rPr>
            </w:pPr>
            <w:r>
              <w:t>DHRM will produce a file for use</w:t>
            </w:r>
            <w:r w:rsidR="005F11CB">
              <w:t xml:space="preserve"> in DOA’s “salary regrade” program in lieu of the daily CIPPS to PMIS interface</w:t>
            </w:r>
            <w:r w:rsidR="003B2B96">
              <w:t xml:space="preserve"> for those agencies that enter data into PMIS</w:t>
            </w:r>
            <w:r w:rsidR="003857CD">
              <w:rPr>
                <w:iCs/>
                <w:szCs w:val="24"/>
              </w:rPr>
              <w:t>.</w:t>
            </w:r>
            <w:r w:rsidR="005F11CB">
              <w:rPr>
                <w:iCs/>
                <w:szCs w:val="24"/>
              </w:rPr>
              <w:t xml:space="preserve">  This program will create transactions to update </w:t>
            </w:r>
            <w:r w:rsidR="004072E7">
              <w:rPr>
                <w:iCs/>
                <w:szCs w:val="24"/>
              </w:rPr>
              <w:t xml:space="preserve">the pay period amount and date of last pay change on H0BID along with updating the IMP LIFE (SP 14) amount on H10AS.  </w:t>
            </w:r>
            <w:r w:rsidR="00236ED6">
              <w:rPr>
                <w:iCs/>
                <w:szCs w:val="24"/>
              </w:rPr>
              <w:t>As this is a mid-month salary increase</w:t>
            </w:r>
            <w:r w:rsidR="00236ED6" w:rsidRPr="003B2B96">
              <w:rPr>
                <w:iCs/>
                <w:szCs w:val="24"/>
              </w:rPr>
              <w:t>, t</w:t>
            </w:r>
            <w:r w:rsidR="004072E7" w:rsidRPr="003B2B96">
              <w:rPr>
                <w:iCs/>
                <w:szCs w:val="24"/>
              </w:rPr>
              <w:t xml:space="preserve">he </w:t>
            </w:r>
            <w:r w:rsidR="00FD187D" w:rsidRPr="003B2B96">
              <w:rPr>
                <w:color w:val="000000"/>
                <w:szCs w:val="24"/>
              </w:rPr>
              <w:t>CONTBASE</w:t>
            </w:r>
            <w:r w:rsidR="00FD187D" w:rsidRPr="003B2B96">
              <w:rPr>
                <w:rFonts w:ascii="Tahoma" w:hAnsi="Tahoma" w:cs="Tahoma"/>
                <w:color w:val="000000"/>
                <w:sz w:val="20"/>
              </w:rPr>
              <w:t xml:space="preserve"> </w:t>
            </w:r>
            <w:r w:rsidR="004072E7" w:rsidRPr="003B2B96">
              <w:rPr>
                <w:iCs/>
                <w:szCs w:val="24"/>
              </w:rPr>
              <w:t xml:space="preserve">(SP 99) </w:t>
            </w:r>
            <w:r w:rsidR="00A072AC" w:rsidRPr="003B2B96">
              <w:rPr>
                <w:iCs/>
                <w:szCs w:val="24"/>
              </w:rPr>
              <w:t xml:space="preserve">transactions produced by this file </w:t>
            </w:r>
            <w:r w:rsidR="004072E7" w:rsidRPr="003B2B96">
              <w:rPr>
                <w:iCs/>
                <w:szCs w:val="24"/>
              </w:rPr>
              <w:t xml:space="preserve">will not be updated </w:t>
            </w:r>
            <w:r w:rsidR="00B32AE2" w:rsidRPr="003B2B96">
              <w:rPr>
                <w:iCs/>
                <w:szCs w:val="24"/>
              </w:rPr>
              <w:t xml:space="preserve">in CIPPS </w:t>
            </w:r>
            <w:r w:rsidR="004072E7" w:rsidRPr="003B2B96">
              <w:rPr>
                <w:iCs/>
                <w:szCs w:val="24"/>
              </w:rPr>
              <w:t xml:space="preserve">until </w:t>
            </w:r>
            <w:r w:rsidR="00236ED6" w:rsidRPr="003B2B96">
              <w:rPr>
                <w:iCs/>
                <w:szCs w:val="24"/>
              </w:rPr>
              <w:t xml:space="preserve">the </w:t>
            </w:r>
            <w:r w:rsidR="003A44B8">
              <w:rPr>
                <w:iCs/>
                <w:szCs w:val="24"/>
              </w:rPr>
              <w:t>following month</w:t>
            </w:r>
            <w:r w:rsidR="007F0460">
              <w:rPr>
                <w:iCs/>
                <w:szCs w:val="24"/>
              </w:rPr>
              <w:t>(</w:t>
            </w:r>
            <w:r w:rsidR="003A44B8">
              <w:rPr>
                <w:iCs/>
                <w:szCs w:val="24"/>
              </w:rPr>
              <w:t>October</w:t>
            </w:r>
            <w:r w:rsidR="007F0460">
              <w:rPr>
                <w:iCs/>
                <w:szCs w:val="24"/>
              </w:rPr>
              <w:t>)</w:t>
            </w:r>
            <w:r w:rsidR="004072E7" w:rsidRPr="003B2B96">
              <w:rPr>
                <w:iCs/>
                <w:szCs w:val="24"/>
              </w:rPr>
              <w:t>.</w:t>
            </w:r>
            <w:r w:rsidR="003A44B8">
              <w:rPr>
                <w:iCs/>
                <w:szCs w:val="24"/>
              </w:rPr>
              <w:t xml:space="preserve">  </w:t>
            </w:r>
            <w:r w:rsidR="00930FBB">
              <w:rPr>
                <w:iCs/>
                <w:szCs w:val="24"/>
              </w:rPr>
              <w:t xml:space="preserve">See the </w:t>
            </w:r>
            <w:r w:rsidR="0087407E">
              <w:rPr>
                <w:iCs/>
                <w:szCs w:val="24"/>
              </w:rPr>
              <w:t>“</w:t>
            </w:r>
            <w:r w:rsidR="00930FBB">
              <w:rPr>
                <w:iCs/>
                <w:szCs w:val="24"/>
              </w:rPr>
              <w:t>Salary Regrade Processing Calendar</w:t>
            </w:r>
            <w:r w:rsidR="0087407E">
              <w:rPr>
                <w:iCs/>
                <w:szCs w:val="24"/>
              </w:rPr>
              <w:t>”</w:t>
            </w:r>
            <w:r w:rsidR="00930FBB">
              <w:rPr>
                <w:iCs/>
                <w:szCs w:val="24"/>
              </w:rPr>
              <w:t xml:space="preserve"> </w:t>
            </w:r>
            <w:r w:rsidR="00FB0767">
              <w:rPr>
                <w:iCs/>
                <w:szCs w:val="24"/>
              </w:rPr>
              <w:t>section below</w:t>
            </w:r>
            <w:r w:rsidR="007F0460">
              <w:rPr>
                <w:iCs/>
                <w:szCs w:val="24"/>
              </w:rPr>
              <w:t xml:space="preserve"> for specific dates.</w:t>
            </w:r>
          </w:p>
          <w:p w:rsidR="004072E7" w:rsidRPr="003B2B96" w:rsidRDefault="004072E7" w:rsidP="004072E7">
            <w:pPr>
              <w:autoSpaceDE w:val="0"/>
              <w:autoSpaceDN w:val="0"/>
              <w:adjustRightInd w:val="0"/>
              <w:rPr>
                <w:iCs/>
                <w:szCs w:val="24"/>
              </w:rPr>
            </w:pPr>
          </w:p>
          <w:p w:rsidR="009E6831" w:rsidRPr="003B2B96" w:rsidRDefault="009E6831" w:rsidP="000B28B1">
            <w:pPr>
              <w:autoSpaceDE w:val="0"/>
              <w:autoSpaceDN w:val="0"/>
              <w:adjustRightInd w:val="0"/>
              <w:rPr>
                <w:b/>
                <w:iCs/>
                <w:szCs w:val="24"/>
              </w:rPr>
            </w:pPr>
            <w:r w:rsidRPr="003B2B96">
              <w:rPr>
                <w:iCs/>
                <w:szCs w:val="24"/>
              </w:rPr>
              <w:t xml:space="preserve">DHRM will </w:t>
            </w:r>
            <w:r w:rsidR="00B32AE2" w:rsidRPr="003B2B96">
              <w:rPr>
                <w:iCs/>
                <w:szCs w:val="24"/>
              </w:rPr>
              <w:t>automatically apply the</w:t>
            </w:r>
            <w:r w:rsidRPr="003B2B96">
              <w:rPr>
                <w:iCs/>
                <w:szCs w:val="24"/>
              </w:rPr>
              <w:t xml:space="preserve"> increase to the “State Salary”.  If an increase on the “Non-State Salary” or the “Special Rate”</w:t>
            </w:r>
            <w:r w:rsidR="003B2B96" w:rsidRPr="003B2B96">
              <w:rPr>
                <w:iCs/>
                <w:szCs w:val="24"/>
              </w:rPr>
              <w:t xml:space="preserve"> has been approved by the agency</w:t>
            </w:r>
            <w:r w:rsidRPr="003B2B96">
              <w:rPr>
                <w:iCs/>
                <w:szCs w:val="24"/>
              </w:rPr>
              <w:t xml:space="preserve">, it must be </w:t>
            </w:r>
            <w:r w:rsidR="003B27B7" w:rsidRPr="003B2B96">
              <w:rPr>
                <w:iCs/>
                <w:szCs w:val="24"/>
              </w:rPr>
              <w:t>keyed</w:t>
            </w:r>
            <w:r w:rsidRPr="003B2B96">
              <w:rPr>
                <w:iCs/>
                <w:szCs w:val="24"/>
              </w:rPr>
              <w:t xml:space="preserve"> </w:t>
            </w:r>
            <w:r w:rsidR="00B32AE2" w:rsidRPr="003B2B96">
              <w:rPr>
                <w:iCs/>
                <w:szCs w:val="24"/>
              </w:rPr>
              <w:t xml:space="preserve">manually </w:t>
            </w:r>
            <w:r w:rsidRPr="003B2B96">
              <w:rPr>
                <w:iCs/>
                <w:szCs w:val="24"/>
              </w:rPr>
              <w:t>by the line agency</w:t>
            </w:r>
            <w:r w:rsidR="003B27B7" w:rsidRPr="003B2B96">
              <w:rPr>
                <w:iCs/>
                <w:szCs w:val="24"/>
              </w:rPr>
              <w:t xml:space="preserve"> in</w:t>
            </w:r>
            <w:r w:rsidR="00DB218B" w:rsidRPr="003B2B96">
              <w:rPr>
                <w:iCs/>
                <w:szCs w:val="24"/>
              </w:rPr>
              <w:t>to</w:t>
            </w:r>
            <w:r w:rsidR="003B27B7" w:rsidRPr="003B2B96">
              <w:rPr>
                <w:iCs/>
                <w:szCs w:val="24"/>
              </w:rPr>
              <w:t xml:space="preserve"> PMIS</w:t>
            </w:r>
            <w:r w:rsidRPr="003B2B96">
              <w:rPr>
                <w:iCs/>
                <w:szCs w:val="24"/>
              </w:rPr>
              <w:t xml:space="preserve">.  </w:t>
            </w:r>
            <w:r w:rsidR="00DB218B" w:rsidRPr="003B2B96">
              <w:rPr>
                <w:iCs/>
                <w:szCs w:val="24"/>
              </w:rPr>
              <w:t xml:space="preserve">Increases keyed directly into PMIS will come to CIPPS through the daily interface file.  </w:t>
            </w:r>
            <w:r w:rsidRPr="003B2B96">
              <w:rPr>
                <w:b/>
                <w:iCs/>
                <w:szCs w:val="24"/>
              </w:rPr>
              <w:t xml:space="preserve">To avoid timing differences </w:t>
            </w:r>
            <w:r w:rsidR="00236ED6" w:rsidRPr="003B2B96">
              <w:rPr>
                <w:b/>
                <w:iCs/>
                <w:szCs w:val="24"/>
              </w:rPr>
              <w:t>with the PMIS regrade file</w:t>
            </w:r>
            <w:r w:rsidR="00DB218B" w:rsidRPr="003B2B96">
              <w:rPr>
                <w:b/>
                <w:iCs/>
                <w:szCs w:val="24"/>
              </w:rPr>
              <w:t xml:space="preserve"> </w:t>
            </w:r>
            <w:r w:rsidR="003B2B96" w:rsidRPr="003B2B96">
              <w:rPr>
                <w:b/>
                <w:iCs/>
                <w:szCs w:val="24"/>
              </w:rPr>
              <w:t xml:space="preserve">DO NOT </w:t>
            </w:r>
            <w:r w:rsidR="00DB218B" w:rsidRPr="003B2B96">
              <w:rPr>
                <w:b/>
                <w:iCs/>
                <w:szCs w:val="24"/>
              </w:rPr>
              <w:t xml:space="preserve">key </w:t>
            </w:r>
            <w:r w:rsidRPr="003B2B96">
              <w:rPr>
                <w:b/>
                <w:iCs/>
                <w:szCs w:val="24"/>
              </w:rPr>
              <w:t xml:space="preserve">adjustments of this nature into PMIS until </w:t>
            </w:r>
            <w:r w:rsidR="003A44B8">
              <w:rPr>
                <w:b/>
                <w:iCs/>
                <w:szCs w:val="24"/>
              </w:rPr>
              <w:t>September 12</w:t>
            </w:r>
            <w:r w:rsidR="003A44B8" w:rsidRPr="003A44B8">
              <w:rPr>
                <w:b/>
                <w:iCs/>
                <w:szCs w:val="24"/>
                <w:vertAlign w:val="superscript"/>
              </w:rPr>
              <w:t>th</w:t>
            </w:r>
            <w:r w:rsidRPr="003B2B96">
              <w:rPr>
                <w:b/>
                <w:iCs/>
                <w:szCs w:val="24"/>
              </w:rPr>
              <w:t xml:space="preserve">.  </w:t>
            </w:r>
          </w:p>
          <w:p w:rsidR="009E6831" w:rsidRDefault="009E6831" w:rsidP="000B28B1">
            <w:pPr>
              <w:autoSpaceDE w:val="0"/>
              <w:autoSpaceDN w:val="0"/>
              <w:adjustRightInd w:val="0"/>
              <w:rPr>
                <w:iCs/>
                <w:szCs w:val="24"/>
              </w:rPr>
            </w:pPr>
          </w:p>
          <w:p w:rsidR="003B27B7" w:rsidRPr="003B27B7" w:rsidRDefault="00DB218B" w:rsidP="00395150">
            <w:pPr>
              <w:autoSpaceDE w:val="0"/>
              <w:autoSpaceDN w:val="0"/>
              <w:adjustRightInd w:val="0"/>
              <w:rPr>
                <w:iCs/>
                <w:szCs w:val="24"/>
              </w:rPr>
            </w:pPr>
            <w:r w:rsidRPr="003B2B96">
              <w:rPr>
                <w:iCs/>
                <w:szCs w:val="24"/>
              </w:rPr>
              <w:t>Mid-month salary changes processed through the daily</w:t>
            </w:r>
            <w:r w:rsidR="009E6831" w:rsidRPr="003B2B96">
              <w:rPr>
                <w:iCs/>
                <w:szCs w:val="24"/>
              </w:rPr>
              <w:t xml:space="preserve"> PMIS to CIPPS interface automatically suspend </w:t>
            </w:r>
            <w:r w:rsidR="003B27B7" w:rsidRPr="003B2B96">
              <w:rPr>
                <w:iCs/>
                <w:szCs w:val="24"/>
              </w:rPr>
              <w:t>updates</w:t>
            </w:r>
            <w:r w:rsidR="009E6831" w:rsidRPr="003B2B96">
              <w:rPr>
                <w:iCs/>
                <w:szCs w:val="24"/>
              </w:rPr>
              <w:t xml:space="preserve"> to the </w:t>
            </w:r>
            <w:r w:rsidR="00236ED6" w:rsidRPr="003B2B96">
              <w:rPr>
                <w:color w:val="000000"/>
                <w:szCs w:val="24"/>
              </w:rPr>
              <w:t>CONTBASE</w:t>
            </w:r>
            <w:r w:rsidR="00236ED6" w:rsidRPr="003B2B96">
              <w:rPr>
                <w:rFonts w:ascii="Tahoma" w:hAnsi="Tahoma" w:cs="Tahoma"/>
                <w:color w:val="000000"/>
                <w:sz w:val="20"/>
              </w:rPr>
              <w:t xml:space="preserve"> </w:t>
            </w:r>
            <w:r w:rsidR="00236ED6" w:rsidRPr="003B2B96">
              <w:rPr>
                <w:iCs/>
                <w:szCs w:val="24"/>
              </w:rPr>
              <w:t>(SP 99)</w:t>
            </w:r>
            <w:r w:rsidRPr="003B2B96">
              <w:rPr>
                <w:iCs/>
                <w:szCs w:val="24"/>
              </w:rPr>
              <w:t xml:space="preserve"> </w:t>
            </w:r>
            <w:r w:rsidR="009E6831" w:rsidRPr="003B2B96">
              <w:rPr>
                <w:iCs/>
                <w:szCs w:val="24"/>
              </w:rPr>
              <w:t>amou</w:t>
            </w:r>
            <w:r w:rsidR="003B27B7" w:rsidRPr="003B2B96">
              <w:rPr>
                <w:iCs/>
                <w:szCs w:val="24"/>
              </w:rPr>
              <w:t xml:space="preserve">nt until the first </w:t>
            </w:r>
            <w:r w:rsidR="002556AC" w:rsidRPr="003B2B96">
              <w:rPr>
                <w:iCs/>
                <w:szCs w:val="24"/>
              </w:rPr>
              <w:t>processing day of the next month</w:t>
            </w:r>
            <w:r w:rsidR="00E72348" w:rsidRPr="003B2B96">
              <w:rPr>
                <w:iCs/>
                <w:szCs w:val="24"/>
              </w:rPr>
              <w:t>.</w:t>
            </w:r>
            <w:r w:rsidR="00E72348" w:rsidRPr="002556AC">
              <w:rPr>
                <w:iCs/>
                <w:szCs w:val="24"/>
                <w:highlight w:val="yellow"/>
              </w:rPr>
              <w:t xml:space="preserve"> </w:t>
            </w:r>
            <w:r w:rsidR="001E2A32">
              <w:rPr>
                <w:iCs/>
                <w:szCs w:val="24"/>
                <w:highlight w:val="yellow"/>
              </w:rPr>
              <w:t xml:space="preserve"> </w:t>
            </w:r>
          </w:p>
        </w:tc>
      </w:tr>
    </w:tbl>
    <w:p w:rsidR="00395150" w:rsidRDefault="00395150" w:rsidP="00395150">
      <w:pPr>
        <w:pStyle w:val="BlockLine"/>
        <w:ind w:left="1620"/>
      </w:pPr>
    </w:p>
    <w:tbl>
      <w:tblPr>
        <w:tblW w:w="10188" w:type="dxa"/>
        <w:tblLayout w:type="fixed"/>
        <w:tblLook w:val="0000" w:firstRow="0" w:lastRow="0" w:firstColumn="0" w:lastColumn="0" w:noHBand="0" w:noVBand="0"/>
      </w:tblPr>
      <w:tblGrid>
        <w:gridCol w:w="1728"/>
        <w:gridCol w:w="8460"/>
      </w:tblGrid>
      <w:tr w:rsidR="00395150" w:rsidTr="001F533A">
        <w:trPr>
          <w:cantSplit/>
        </w:trPr>
        <w:tc>
          <w:tcPr>
            <w:tcW w:w="1728" w:type="dxa"/>
          </w:tcPr>
          <w:p w:rsidR="00395150" w:rsidRDefault="00395150" w:rsidP="001F533A">
            <w:pPr>
              <w:pStyle w:val="Heading5"/>
            </w:pPr>
            <w:r>
              <w:rPr>
                <w:rFonts w:ascii="Times New Roman Bold" w:hAnsi="Times New Roman Bold"/>
                <w:b w:val="0"/>
                <w:szCs w:val="24"/>
              </w:rPr>
              <w:t xml:space="preserve">Imputed Life </w:t>
            </w:r>
          </w:p>
        </w:tc>
        <w:tc>
          <w:tcPr>
            <w:tcW w:w="8460" w:type="dxa"/>
          </w:tcPr>
          <w:p w:rsidR="00395150" w:rsidRDefault="00395150" w:rsidP="001F533A">
            <w:pPr>
              <w:autoSpaceDE w:val="0"/>
              <w:autoSpaceDN w:val="0"/>
              <w:adjustRightInd w:val="0"/>
            </w:pPr>
            <w:r>
              <w:t>As the Imputed Life will be increased mid-month additional taxes will be withheld in the second half of September as Imputed Life is self-adjusting.</w:t>
            </w:r>
          </w:p>
        </w:tc>
      </w:tr>
    </w:tbl>
    <w:p w:rsidR="00EF3587" w:rsidRDefault="00EF3587" w:rsidP="00EF3587">
      <w:pPr>
        <w:pStyle w:val="BlockLine"/>
        <w:ind w:left="1620"/>
      </w:pPr>
    </w:p>
    <w:tbl>
      <w:tblPr>
        <w:tblW w:w="10188" w:type="dxa"/>
        <w:tblLayout w:type="fixed"/>
        <w:tblLook w:val="0000" w:firstRow="0" w:lastRow="0" w:firstColumn="0" w:lastColumn="0" w:noHBand="0" w:noVBand="0"/>
      </w:tblPr>
      <w:tblGrid>
        <w:gridCol w:w="1728"/>
        <w:gridCol w:w="8460"/>
      </w:tblGrid>
      <w:tr w:rsidR="00EF3587" w:rsidTr="003E1E06">
        <w:trPr>
          <w:cantSplit/>
        </w:trPr>
        <w:tc>
          <w:tcPr>
            <w:tcW w:w="1728" w:type="dxa"/>
          </w:tcPr>
          <w:p w:rsidR="00EF3587" w:rsidRPr="00D26CA0" w:rsidRDefault="00EF3587" w:rsidP="003E1E06">
            <w:pPr>
              <w:pStyle w:val="Heading5"/>
            </w:pPr>
            <w:r w:rsidRPr="00D26CA0">
              <w:rPr>
                <w:rFonts w:ascii="Times New Roman Bold" w:hAnsi="Times New Roman Bold"/>
                <w:b w:val="0"/>
                <w:szCs w:val="24"/>
              </w:rPr>
              <w:t xml:space="preserve">Employees Who Exceed Maximum Pay Band Amount </w:t>
            </w:r>
          </w:p>
        </w:tc>
        <w:tc>
          <w:tcPr>
            <w:tcW w:w="8460" w:type="dxa"/>
          </w:tcPr>
          <w:p w:rsidR="00EF3587" w:rsidRPr="00D26CA0" w:rsidRDefault="00EF3587" w:rsidP="003E1E06">
            <w:pPr>
              <w:autoSpaceDE w:val="0"/>
              <w:autoSpaceDN w:val="0"/>
              <w:adjustRightInd w:val="0"/>
            </w:pPr>
            <w:r w:rsidRPr="00D26CA0">
              <w:t>Base pay is restricted to the appropriate pay band maximum for the position.  If the computed salary increase exceeds the limit, DHRM will send only the maximum allowed amount in the regrade file.</w:t>
            </w:r>
          </w:p>
          <w:p w:rsidR="00EF3587" w:rsidRPr="00D26CA0" w:rsidRDefault="00EF3587" w:rsidP="003E1E06">
            <w:pPr>
              <w:autoSpaceDE w:val="0"/>
              <w:autoSpaceDN w:val="0"/>
              <w:adjustRightInd w:val="0"/>
            </w:pPr>
          </w:p>
          <w:p w:rsidR="00EF3587" w:rsidRPr="00D26CA0" w:rsidRDefault="00EF3587" w:rsidP="003E1E06">
            <w:pPr>
              <w:autoSpaceDE w:val="0"/>
              <w:autoSpaceDN w:val="0"/>
              <w:adjustRightInd w:val="0"/>
            </w:pPr>
            <w:r w:rsidRPr="00D26CA0">
              <w:t>Excess amounts are paid as a one-time bonus to the employee.  PI Bonus (SP 24) should be used to make these payments.  This bonus amount will not be updated in CIPPS automatically.  They must be manually entered into CIPPS.</w:t>
            </w:r>
          </w:p>
          <w:p w:rsidR="00EF3587" w:rsidRPr="00D26CA0" w:rsidRDefault="00EF3587" w:rsidP="003E1E06">
            <w:pPr>
              <w:autoSpaceDE w:val="0"/>
              <w:autoSpaceDN w:val="0"/>
              <w:adjustRightInd w:val="0"/>
            </w:pPr>
          </w:p>
          <w:p w:rsidR="00EF3587" w:rsidRPr="00D26CA0" w:rsidRDefault="00EF3587" w:rsidP="003E1E06">
            <w:pPr>
              <w:autoSpaceDE w:val="0"/>
              <w:autoSpaceDN w:val="0"/>
              <w:adjustRightInd w:val="0"/>
            </w:pPr>
            <w:r w:rsidRPr="00D26CA0">
              <w:t>Contact DHRM for instructions on obtaining the proper bonus amount to pay.</w:t>
            </w:r>
          </w:p>
        </w:tc>
      </w:tr>
    </w:tbl>
    <w:p w:rsidR="00EF3587" w:rsidRPr="00EF3587" w:rsidRDefault="00EF3587" w:rsidP="00EF3587">
      <w:pPr>
        <w:pStyle w:val="BlockLine"/>
        <w:ind w:left="1620"/>
        <w:jc w:val="right"/>
        <w:rPr>
          <w:i/>
          <w:sz w:val="20"/>
        </w:rPr>
      </w:pPr>
      <w:r>
        <w:rPr>
          <w:i/>
          <w:sz w:val="20"/>
        </w:rPr>
        <w:t>Continued on the next page</w:t>
      </w:r>
    </w:p>
    <w:p w:rsidR="00395150" w:rsidRPr="00395150" w:rsidRDefault="00395150" w:rsidP="00395150"/>
    <w:p w:rsidR="000D74B2" w:rsidRPr="005F1B4E" w:rsidRDefault="00186D13" w:rsidP="003857CD">
      <w:pPr>
        <w:rPr>
          <w:b/>
          <w:sz w:val="28"/>
          <w:szCs w:val="28"/>
        </w:rPr>
      </w:pPr>
      <w:r>
        <w:rPr>
          <w:b/>
          <w:sz w:val="28"/>
          <w:szCs w:val="28"/>
        </w:rPr>
        <w:br w:type="page"/>
      </w:r>
      <w:r w:rsidR="000D74B2" w:rsidRPr="005F1B4E">
        <w:rPr>
          <w:b/>
          <w:sz w:val="28"/>
          <w:szCs w:val="28"/>
        </w:rPr>
        <w:lastRenderedPageBreak/>
        <w:t xml:space="preserve">General Guidelines for </w:t>
      </w:r>
      <w:r w:rsidR="00A768BD">
        <w:rPr>
          <w:b/>
          <w:sz w:val="28"/>
          <w:szCs w:val="28"/>
        </w:rPr>
        <w:t xml:space="preserve">September </w:t>
      </w:r>
      <w:r w:rsidR="007B5E26">
        <w:rPr>
          <w:b/>
          <w:sz w:val="28"/>
          <w:szCs w:val="28"/>
        </w:rPr>
        <w:t>2017</w:t>
      </w:r>
      <w:r w:rsidR="000B28B1">
        <w:rPr>
          <w:b/>
          <w:sz w:val="28"/>
          <w:szCs w:val="28"/>
        </w:rPr>
        <w:t xml:space="preserve"> Salary Increase</w:t>
      </w:r>
      <w:r w:rsidR="000D74B2" w:rsidRPr="005F1B4E">
        <w:rPr>
          <w:b/>
          <w:sz w:val="28"/>
          <w:szCs w:val="28"/>
        </w:rPr>
        <w:t>, cont.</w:t>
      </w:r>
    </w:p>
    <w:p w:rsidR="00132054" w:rsidRDefault="00132054" w:rsidP="00132054">
      <w:pPr>
        <w:pStyle w:val="BlockLine"/>
        <w:ind w:left="1620"/>
      </w:pPr>
    </w:p>
    <w:tbl>
      <w:tblPr>
        <w:tblW w:w="10187" w:type="dxa"/>
        <w:tblLook w:val="0000" w:firstRow="0" w:lastRow="0" w:firstColumn="0" w:lastColumn="0" w:noHBand="0" w:noVBand="0"/>
      </w:tblPr>
      <w:tblGrid>
        <w:gridCol w:w="1727"/>
        <w:gridCol w:w="8460"/>
      </w:tblGrid>
      <w:tr w:rsidR="00132054" w:rsidTr="00F93F7B">
        <w:trPr>
          <w:cantSplit/>
          <w:trHeight w:val="3211"/>
        </w:trPr>
        <w:tc>
          <w:tcPr>
            <w:tcW w:w="1727" w:type="dxa"/>
          </w:tcPr>
          <w:p w:rsidR="00132054" w:rsidRPr="00DF4DE7" w:rsidRDefault="00132054" w:rsidP="007962EC">
            <w:pPr>
              <w:pStyle w:val="Heading5"/>
              <w:rPr>
                <w:highlight w:val="yellow"/>
              </w:rPr>
            </w:pPr>
            <w:r>
              <w:rPr>
                <w:rFonts w:ascii="Times New Roman Bold" w:hAnsi="Times New Roman Bold"/>
                <w:b w:val="0"/>
                <w:szCs w:val="24"/>
              </w:rPr>
              <w:t>Non-PMIS Agencies</w:t>
            </w:r>
          </w:p>
        </w:tc>
        <w:tc>
          <w:tcPr>
            <w:tcW w:w="8460" w:type="dxa"/>
          </w:tcPr>
          <w:p w:rsidR="00132054" w:rsidRDefault="00E96970" w:rsidP="00132054">
            <w:pPr>
              <w:autoSpaceDE w:val="0"/>
              <w:autoSpaceDN w:val="0"/>
              <w:adjustRightInd w:val="0"/>
            </w:pPr>
            <w:r>
              <w:t xml:space="preserve">As </w:t>
            </w:r>
            <w:r w:rsidR="00BE6D53">
              <w:t>usual</w:t>
            </w:r>
            <w:r>
              <w:t xml:space="preserve">, Non-PMIS agencies will </w:t>
            </w:r>
            <w:r w:rsidR="007A33CD">
              <w:t>key these salary increases manually in CIPPS.   DOA has no way to anticipate which employees are eligible for the 9/10/2017 increase.  As such, we will not be able to override the SP 99 CONTBASE automatically.</w:t>
            </w:r>
          </w:p>
          <w:p w:rsidR="007A33CD" w:rsidRDefault="007A33CD" w:rsidP="00132054">
            <w:pPr>
              <w:autoSpaceDE w:val="0"/>
              <w:autoSpaceDN w:val="0"/>
              <w:adjustRightInd w:val="0"/>
            </w:pPr>
          </w:p>
          <w:p w:rsidR="007A33CD" w:rsidRDefault="00E96970" w:rsidP="007A33CD">
            <w:pPr>
              <w:autoSpaceDE w:val="0"/>
              <w:autoSpaceDN w:val="0"/>
              <w:adjustRightInd w:val="0"/>
            </w:pPr>
            <w:r>
              <w:t>Therefore, a</w:t>
            </w:r>
            <w:r w:rsidR="007A33CD">
              <w:t xml:space="preserve">s increases are keyed in CIPPS keep in mind that the SP 99 CONTBASE will </w:t>
            </w:r>
            <w:r>
              <w:t>automatically update on H10AS prematurely.  Th</w:t>
            </w:r>
            <w:r w:rsidR="007A33CD">
              <w:t xml:space="preserve">e new salary should NOT be used to calculate the retirement deductions for 9/10-24/2017.  </w:t>
            </w:r>
          </w:p>
          <w:p w:rsidR="007A33CD" w:rsidRDefault="007A33CD" w:rsidP="007A33CD">
            <w:pPr>
              <w:autoSpaceDE w:val="0"/>
              <w:autoSpaceDN w:val="0"/>
              <w:adjustRightInd w:val="0"/>
            </w:pPr>
          </w:p>
          <w:p w:rsidR="00E96970" w:rsidRPr="00D24E49" w:rsidRDefault="00E96970" w:rsidP="00F93F7B">
            <w:pPr>
              <w:autoSpaceDE w:val="0"/>
              <w:autoSpaceDN w:val="0"/>
              <w:adjustRightInd w:val="0"/>
            </w:pPr>
            <w:r>
              <w:t xml:space="preserve">To prevent incorrect retirement contributions, </w:t>
            </w:r>
            <w:r w:rsidR="007A33CD">
              <w:t xml:space="preserve">Non-PMIS agencies should key an HUE01 override </w:t>
            </w:r>
            <w:r>
              <w:t xml:space="preserve">for SP 99 CONTBASE </w:t>
            </w:r>
            <w:r w:rsidR="007A33CD">
              <w:t>reflecting the pre-increase sal</w:t>
            </w:r>
            <w:r>
              <w:t>ary amount.</w:t>
            </w:r>
          </w:p>
        </w:tc>
      </w:tr>
    </w:tbl>
    <w:p w:rsidR="00132054" w:rsidRDefault="00132054" w:rsidP="00132054">
      <w:pPr>
        <w:pStyle w:val="BlockLine"/>
        <w:ind w:left="1620"/>
      </w:pPr>
    </w:p>
    <w:tbl>
      <w:tblPr>
        <w:tblW w:w="10338" w:type="dxa"/>
        <w:tblLook w:val="0000" w:firstRow="0" w:lastRow="0" w:firstColumn="0" w:lastColumn="0" w:noHBand="0" w:noVBand="0"/>
      </w:tblPr>
      <w:tblGrid>
        <w:gridCol w:w="1753"/>
        <w:gridCol w:w="8585"/>
      </w:tblGrid>
      <w:tr w:rsidR="00132054" w:rsidTr="007962EC">
        <w:trPr>
          <w:cantSplit/>
          <w:trHeight w:val="4131"/>
        </w:trPr>
        <w:tc>
          <w:tcPr>
            <w:tcW w:w="1753" w:type="dxa"/>
          </w:tcPr>
          <w:p w:rsidR="00132054" w:rsidRPr="00DF4DE7" w:rsidRDefault="00132054" w:rsidP="007962EC">
            <w:pPr>
              <w:pStyle w:val="Heading5"/>
              <w:rPr>
                <w:highlight w:val="yellow"/>
              </w:rPr>
            </w:pPr>
            <w:r w:rsidRPr="00BA60BC">
              <w:rPr>
                <w:rFonts w:ascii="Times New Roman Bold" w:hAnsi="Times New Roman Bold"/>
                <w:b w:val="0"/>
                <w:szCs w:val="24"/>
              </w:rPr>
              <w:t>Salary Regrade Processing Calenda</w:t>
            </w:r>
            <w:r>
              <w:rPr>
                <w:rFonts w:ascii="Times New Roman Bold" w:hAnsi="Times New Roman Bold"/>
                <w:b w:val="0"/>
                <w:szCs w:val="24"/>
              </w:rPr>
              <w:t>r</w:t>
            </w:r>
          </w:p>
        </w:tc>
        <w:tc>
          <w:tcPr>
            <w:tcW w:w="8585" w:type="dxa"/>
          </w:tcPr>
          <w:tbl>
            <w:tblPr>
              <w:tblW w:w="0" w:type="auto"/>
              <w:tblInd w:w="115" w:type="dxa"/>
              <w:tblCellMar>
                <w:left w:w="0" w:type="dxa"/>
                <w:right w:w="0" w:type="dxa"/>
              </w:tblCellMar>
              <w:tblLook w:val="04A0" w:firstRow="1" w:lastRow="0" w:firstColumn="1" w:lastColumn="0" w:noHBand="0" w:noVBand="1"/>
            </w:tblPr>
            <w:tblGrid>
              <w:gridCol w:w="1082"/>
              <w:gridCol w:w="7149"/>
            </w:tblGrid>
            <w:tr w:rsidR="00132054" w:rsidTr="007962EC">
              <w:trPr>
                <w:trHeight w:val="130"/>
              </w:trPr>
              <w:tc>
                <w:tcPr>
                  <w:tcW w:w="1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jc w:val="center"/>
                    <w:rPr>
                      <w:rFonts w:ascii="Calibri" w:eastAsiaTheme="minorHAnsi" w:hAnsi="Calibri"/>
                      <w:b/>
                      <w:bCs/>
                      <w:szCs w:val="24"/>
                    </w:rPr>
                  </w:pPr>
                  <w:r>
                    <w:rPr>
                      <w:b/>
                      <w:bCs/>
                    </w:rPr>
                    <w:t>Sept</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jc w:val="center"/>
                    <w:rPr>
                      <w:rFonts w:ascii="Calibri" w:eastAsiaTheme="minorHAnsi" w:hAnsi="Calibri"/>
                      <w:b/>
                      <w:bCs/>
                      <w:szCs w:val="24"/>
                    </w:rPr>
                  </w:pPr>
                  <w:r>
                    <w:rPr>
                      <w:b/>
                      <w:bCs/>
                    </w:rPr>
                    <w:t>PMIS Agencies</w:t>
                  </w:r>
                </w:p>
              </w:tc>
            </w:tr>
            <w:tr w:rsidR="00132054" w:rsidTr="007962EC">
              <w:trPr>
                <w:trHeight w:val="143"/>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b/>
                      <w:bCs/>
                      <w:szCs w:val="24"/>
                    </w:rPr>
                  </w:pPr>
                  <w:r>
                    <w:rPr>
                      <w:b/>
                      <w:bCs/>
                    </w:rPr>
                    <w:t>11</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szCs w:val="24"/>
                    </w:rPr>
                  </w:pPr>
                  <w:r>
                    <w:t>Semi-Monthly salaried certification deadline (8/25-9/9/2017)</w:t>
                  </w:r>
                </w:p>
              </w:tc>
            </w:tr>
            <w:tr w:rsidR="00132054" w:rsidTr="007962EC">
              <w:trPr>
                <w:trHeight w:val="553"/>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b/>
                      <w:bCs/>
                      <w:szCs w:val="24"/>
                    </w:rPr>
                  </w:pPr>
                  <w:r>
                    <w:rPr>
                      <w:b/>
                      <w:bCs/>
                    </w:rPr>
                    <w:t>12</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szCs w:val="24"/>
                    </w:rPr>
                  </w:pPr>
                  <w:r>
                    <w:rPr>
                      <w:szCs w:val="24"/>
                    </w:rPr>
                    <w:t>Regrade file will be processed overnight for employees automatically processed by DHRM as listed on the “</w:t>
                  </w:r>
                  <w:r>
                    <w:t>INCREASE-agency-date.txt” file. – (please see messages posted to DHRM ITECH portal for more information.)</w:t>
                  </w:r>
                </w:p>
              </w:tc>
            </w:tr>
            <w:tr w:rsidR="00132054" w:rsidTr="007962EC">
              <w:trPr>
                <w:trHeight w:val="143"/>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b/>
                      <w:bCs/>
                      <w:szCs w:val="24"/>
                    </w:rPr>
                  </w:pPr>
                  <w:r>
                    <w:rPr>
                      <w:b/>
                      <w:bCs/>
                    </w:rPr>
                    <w:t>25</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szCs w:val="24"/>
                    </w:rPr>
                  </w:pPr>
                  <w:r>
                    <w:t>Semi-Monthly salaried certification deadline (9/10-24/2017)</w:t>
                  </w:r>
                </w:p>
              </w:tc>
            </w:tr>
            <w:tr w:rsidR="00132054" w:rsidTr="007962EC">
              <w:trPr>
                <w:trHeight w:val="277"/>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b/>
                      <w:bCs/>
                      <w:szCs w:val="24"/>
                    </w:rPr>
                  </w:pPr>
                  <w:r>
                    <w:rPr>
                      <w:b/>
                      <w:bCs/>
                    </w:rPr>
                    <w:t>26</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szCs w:val="24"/>
                    </w:rPr>
                  </w:pPr>
                  <w:r>
                    <w:rPr>
                      <w:color w:val="000000"/>
                    </w:rPr>
                    <w:t>CONTBASE</w:t>
                  </w:r>
                  <w:r>
                    <w:rPr>
                      <w:rFonts w:ascii="Tahoma" w:hAnsi="Tahoma" w:cs="Tahoma"/>
                      <w:color w:val="000000"/>
                    </w:rPr>
                    <w:t xml:space="preserve"> </w:t>
                  </w:r>
                  <w:r>
                    <w:t>(SP 99) transactions created from regrade file processed on 9/12 released.</w:t>
                  </w:r>
                </w:p>
              </w:tc>
            </w:tr>
            <w:tr w:rsidR="00132054" w:rsidTr="007962EC">
              <w:trPr>
                <w:trHeight w:val="277"/>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b/>
                      <w:bCs/>
                      <w:szCs w:val="24"/>
                    </w:rPr>
                  </w:pPr>
                  <w:r>
                    <w:rPr>
                      <w:b/>
                      <w:bCs/>
                    </w:rPr>
                    <w:t>27</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color w:val="000000"/>
                      <w:szCs w:val="24"/>
                    </w:rPr>
                  </w:pPr>
                  <w:r>
                    <w:rPr>
                      <w:color w:val="000000"/>
                    </w:rPr>
                    <w:t>CONTBASE (SP 99) transactions created during daily PMIS to CIPPS interface activity released.</w:t>
                  </w:r>
                </w:p>
              </w:tc>
            </w:tr>
            <w:tr w:rsidR="00132054" w:rsidTr="007962EC">
              <w:trPr>
                <w:trHeight w:val="517"/>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b/>
                      <w:bCs/>
                      <w:szCs w:val="24"/>
                    </w:rPr>
                  </w:pPr>
                  <w:r>
                    <w:rPr>
                      <w:b/>
                      <w:bCs/>
                    </w:rPr>
                    <w:t>27</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132054" w:rsidRDefault="00132054" w:rsidP="007962EC">
                  <w:pPr>
                    <w:autoSpaceDE w:val="0"/>
                    <w:autoSpaceDN w:val="0"/>
                    <w:rPr>
                      <w:rFonts w:ascii="Calibri" w:eastAsiaTheme="minorHAnsi" w:hAnsi="Calibri"/>
                      <w:color w:val="000000"/>
                      <w:szCs w:val="24"/>
                    </w:rPr>
                  </w:pPr>
                  <w:r>
                    <w:rPr>
                      <w:color w:val="000000"/>
                    </w:rPr>
                    <w:t>Report U180 available showing CONTBASE (SP 99) transaction updates that occurred July 27.  Edits requested July 27 can be used to review final CONTBASE (SP 99) updates.</w:t>
                  </w:r>
                </w:p>
              </w:tc>
            </w:tr>
          </w:tbl>
          <w:p w:rsidR="00132054" w:rsidRPr="00D24E49" w:rsidRDefault="00132054" w:rsidP="007962EC">
            <w:pPr>
              <w:autoSpaceDE w:val="0"/>
              <w:autoSpaceDN w:val="0"/>
              <w:adjustRightInd w:val="0"/>
            </w:pPr>
          </w:p>
        </w:tc>
      </w:tr>
    </w:tbl>
    <w:p w:rsidR="00FB0767" w:rsidRDefault="00FB0767" w:rsidP="00FB0767">
      <w:pPr>
        <w:pStyle w:val="BlockLine"/>
        <w:ind w:left="1350"/>
        <w:rPr>
          <w:sz w:val="16"/>
          <w:szCs w:val="16"/>
        </w:rPr>
      </w:pPr>
    </w:p>
    <w:p w:rsidR="00FB0767" w:rsidRPr="009937C2" w:rsidRDefault="00FB0767" w:rsidP="00FB0767">
      <w:pPr>
        <w:rPr>
          <w:b/>
          <w:sz w:val="28"/>
          <w:szCs w:val="28"/>
        </w:rPr>
      </w:pPr>
      <w:r>
        <w:rPr>
          <w:b/>
          <w:sz w:val="28"/>
          <w:szCs w:val="28"/>
        </w:rPr>
        <w:t>Optional Group Life Premium Update</w:t>
      </w:r>
    </w:p>
    <w:p w:rsidR="00FB0767" w:rsidRDefault="00FB0767" w:rsidP="00FB0767">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424"/>
      </w:tblGrid>
      <w:tr w:rsidR="00D235BE" w:rsidTr="00D235BE">
        <w:tc>
          <w:tcPr>
            <w:tcW w:w="1728" w:type="dxa"/>
          </w:tcPr>
          <w:p w:rsidR="00D235BE" w:rsidRPr="00044DB9" w:rsidRDefault="00D235BE" w:rsidP="00D235BE">
            <w:pPr>
              <w:rPr>
                <w:b/>
              </w:rPr>
            </w:pPr>
            <w:r w:rsidRPr="00044DB9">
              <w:rPr>
                <w:b/>
                <w:szCs w:val="24"/>
              </w:rPr>
              <w:t>Optional Group Life Premium Update</w:t>
            </w:r>
          </w:p>
        </w:tc>
        <w:tc>
          <w:tcPr>
            <w:tcW w:w="8424" w:type="dxa"/>
          </w:tcPr>
          <w:p w:rsidR="00D235BE" w:rsidRDefault="00D235BE" w:rsidP="00D235BE">
            <w:pPr>
              <w:tabs>
                <w:tab w:val="left" w:pos="2400"/>
              </w:tabs>
              <w:rPr>
                <w:sz w:val="16"/>
                <w:szCs w:val="16"/>
              </w:rPr>
            </w:pPr>
            <w:r>
              <w:t>Effective September 1, 2017</w:t>
            </w:r>
            <w:r w:rsidRPr="003B75D4">
              <w:t xml:space="preserve"> (</w:t>
            </w:r>
            <w:r>
              <w:t>September 15</w:t>
            </w:r>
            <w:r w:rsidRPr="003B75D4">
              <w:t xml:space="preserve">, </w:t>
            </w:r>
            <w:r>
              <w:t>2017</w:t>
            </w:r>
            <w:r w:rsidRPr="003B75D4">
              <w:t xml:space="preserve"> payday) </w:t>
            </w:r>
            <w:r>
              <w:t xml:space="preserve">the Optional Group Life rates for the three age brackets shown below </w:t>
            </w:r>
            <w:r w:rsidRPr="003B75D4">
              <w:t xml:space="preserve">will be reduced.  The rates </w:t>
            </w:r>
            <w:r>
              <w:t xml:space="preserve">will continue to be </w:t>
            </w:r>
            <w:r w:rsidRPr="003B75D4">
              <w:t xml:space="preserve">based on the </w:t>
            </w:r>
            <w:r>
              <w:t xml:space="preserve">salary of the member and the </w:t>
            </w:r>
            <w:r w:rsidRPr="003B75D4">
              <w:t xml:space="preserve">age of the member or spouse </w:t>
            </w:r>
            <w:r>
              <w:t xml:space="preserve">as of </w:t>
            </w:r>
            <w:r w:rsidRPr="003B75D4">
              <w:t xml:space="preserve">January 1, </w:t>
            </w:r>
            <w:r>
              <w:t>2017 (the July 10, 2017 and September 10, 2017 salary increase will not be reflected in the optional life premium until January 1, 2018.)</w:t>
            </w:r>
            <w:r w:rsidRPr="003B75D4">
              <w:t xml:space="preserve">  </w:t>
            </w:r>
          </w:p>
          <w:p w:rsidR="00D235BE" w:rsidRDefault="00D235BE" w:rsidP="00044DB9">
            <w:pPr>
              <w:spacing w:before="100" w:beforeAutospacing="1" w:after="105" w:line="360" w:lineRule="auto"/>
              <w:ind w:left="720"/>
            </w:pPr>
            <w:r w:rsidRPr="00EA335F">
              <w:rPr>
                <w:color w:val="606060"/>
                <w:sz w:val="20"/>
              </w:rPr>
              <w:t>Ages 40-44: Reduced from $0.09 to $0.08 per month per $1,000 of coverage</w:t>
            </w:r>
            <w:r>
              <w:rPr>
                <w:color w:val="606060"/>
                <w:sz w:val="20"/>
              </w:rPr>
              <w:br/>
            </w:r>
            <w:r w:rsidRPr="00EA335F">
              <w:rPr>
                <w:color w:val="606060"/>
                <w:sz w:val="20"/>
              </w:rPr>
              <w:t>Ages 60-64: Reduced from $0.65 to $0.59 per month per $1,000 of coverage</w:t>
            </w:r>
            <w:r>
              <w:rPr>
                <w:color w:val="606060"/>
                <w:sz w:val="20"/>
              </w:rPr>
              <w:br/>
            </w:r>
            <w:r w:rsidRPr="00EA335F">
              <w:rPr>
                <w:color w:val="606060"/>
                <w:sz w:val="20"/>
              </w:rPr>
              <w:t>Ages 65-69: Reduced from $1.15 to $1.06 per month per $1,000 of coverage</w:t>
            </w:r>
          </w:p>
        </w:tc>
      </w:tr>
    </w:tbl>
    <w:p w:rsidR="00044DB9" w:rsidRPr="00EF3587" w:rsidRDefault="00044DB9" w:rsidP="00044DB9">
      <w:pPr>
        <w:pStyle w:val="BlockLine"/>
        <w:ind w:left="1620"/>
        <w:jc w:val="right"/>
        <w:rPr>
          <w:i/>
          <w:sz w:val="20"/>
        </w:rPr>
      </w:pPr>
      <w:r>
        <w:rPr>
          <w:i/>
          <w:sz w:val="20"/>
        </w:rPr>
        <w:t>Continued on the next page</w:t>
      </w:r>
    </w:p>
    <w:p w:rsidR="00902386" w:rsidRDefault="00902386">
      <w:pPr>
        <w:rPr>
          <w:b/>
          <w:sz w:val="28"/>
          <w:szCs w:val="28"/>
        </w:rPr>
      </w:pPr>
      <w:r>
        <w:rPr>
          <w:b/>
          <w:sz w:val="28"/>
          <w:szCs w:val="28"/>
        </w:rPr>
        <w:br w:type="page"/>
      </w:r>
    </w:p>
    <w:p w:rsidR="00044DB9" w:rsidRPr="009937C2" w:rsidRDefault="00044DB9" w:rsidP="00044DB9">
      <w:pPr>
        <w:rPr>
          <w:b/>
          <w:sz w:val="28"/>
          <w:szCs w:val="28"/>
        </w:rPr>
      </w:pPr>
      <w:r>
        <w:rPr>
          <w:b/>
          <w:sz w:val="28"/>
          <w:szCs w:val="28"/>
        </w:rPr>
        <w:lastRenderedPageBreak/>
        <w:t>Optional Group Life Premium Update, continued</w:t>
      </w:r>
    </w:p>
    <w:p w:rsidR="00044DB9" w:rsidRDefault="00044DB9" w:rsidP="00044DB9">
      <w:pPr>
        <w:pStyle w:val="BlockLine"/>
        <w:spacing w:before="120"/>
        <w:ind w:left="1354"/>
        <w:rPr>
          <w:sz w:val="16"/>
          <w:szCs w:val="16"/>
        </w:rPr>
      </w:pPr>
    </w:p>
    <w:tbl>
      <w:tblPr>
        <w:tblW w:w="10082" w:type="dxa"/>
        <w:jc w:val="center"/>
        <w:tblLayout w:type="fixed"/>
        <w:tblLook w:val="0000" w:firstRow="0" w:lastRow="0" w:firstColumn="0" w:lastColumn="0" w:noHBand="0" w:noVBand="0"/>
      </w:tblPr>
      <w:tblGrid>
        <w:gridCol w:w="2233"/>
        <w:gridCol w:w="7849"/>
      </w:tblGrid>
      <w:tr w:rsidR="00FB0767" w:rsidRPr="003B75D4" w:rsidTr="007962EC">
        <w:trPr>
          <w:cantSplit/>
          <w:jc w:val="center"/>
        </w:trPr>
        <w:tc>
          <w:tcPr>
            <w:tcW w:w="2233" w:type="dxa"/>
          </w:tcPr>
          <w:p w:rsidR="00FB0767" w:rsidRPr="00D27651" w:rsidRDefault="00044DB9" w:rsidP="007962EC">
            <w:pPr>
              <w:pStyle w:val="Heading5"/>
              <w:rPr>
                <w:sz w:val="24"/>
                <w:szCs w:val="24"/>
              </w:rPr>
            </w:pPr>
            <w:r>
              <w:rPr>
                <w:sz w:val="24"/>
                <w:szCs w:val="24"/>
              </w:rPr>
              <w:t>U024, U025 Reports</w:t>
            </w:r>
          </w:p>
        </w:tc>
        <w:tc>
          <w:tcPr>
            <w:tcW w:w="7849" w:type="dxa"/>
          </w:tcPr>
          <w:p w:rsidR="00044DB9" w:rsidRDefault="00044DB9" w:rsidP="00044DB9">
            <w:pPr>
              <w:pStyle w:val="Header"/>
              <w:tabs>
                <w:tab w:val="clear" w:pos="4320"/>
                <w:tab w:val="clear" w:pos="8640"/>
                <w:tab w:val="left" w:pos="2400"/>
              </w:tabs>
            </w:pPr>
            <w:r w:rsidRPr="003B75D4">
              <w:t>Reports documenting the coverage and prem</w:t>
            </w:r>
            <w:r>
              <w:t xml:space="preserve">ium amounts </w:t>
            </w:r>
            <w:r w:rsidR="00F13613">
              <w:t>were run on</w:t>
            </w:r>
            <w:r>
              <w:t xml:space="preserve"> September </w:t>
            </w:r>
            <w:r w:rsidR="00F13613">
              <w:t>5</w:t>
            </w:r>
            <w:r>
              <w:t xml:space="preserve">, 2017.  </w:t>
            </w:r>
            <w:r w:rsidRPr="003B75D4">
              <w:t>Be sure to review the Report U024, OPTIONAL GROUP LIFE PREMIUM LISTING, and Report U025, OPTIONAL GROUP LIFE ERROR REPORT, in sufficient time to identify and make any necessary adjustments prior to certification.</w:t>
            </w:r>
          </w:p>
          <w:p w:rsidR="00EA335F" w:rsidRDefault="00EA335F" w:rsidP="007962EC">
            <w:pPr>
              <w:pStyle w:val="Header"/>
              <w:tabs>
                <w:tab w:val="clear" w:pos="4320"/>
                <w:tab w:val="clear" w:pos="8640"/>
                <w:tab w:val="left" w:pos="2400"/>
              </w:tabs>
            </w:pPr>
          </w:p>
          <w:p w:rsidR="00EA335F" w:rsidRPr="003B75D4" w:rsidRDefault="00EA335F" w:rsidP="007962EC">
            <w:pPr>
              <w:pStyle w:val="Header"/>
              <w:tabs>
                <w:tab w:val="clear" w:pos="4320"/>
                <w:tab w:val="clear" w:pos="8640"/>
                <w:tab w:val="left" w:pos="2400"/>
              </w:tabs>
            </w:pPr>
            <w:r>
              <w:t>The file to change the D</w:t>
            </w:r>
            <w:r w:rsidRPr="003B75D4">
              <w:t xml:space="preserve">eduction 35 amounts </w:t>
            </w:r>
            <w:r>
              <w:t xml:space="preserve">on H0ZDC </w:t>
            </w:r>
            <w:r w:rsidR="00044DB9">
              <w:t xml:space="preserve">was </w:t>
            </w:r>
            <w:r w:rsidRPr="003B75D4">
              <w:t xml:space="preserve">loaded on </w:t>
            </w:r>
            <w:r>
              <w:t>the night of September 6, 2017</w:t>
            </w:r>
            <w:r w:rsidRPr="003B75D4">
              <w:t xml:space="preserve">.  </w:t>
            </w:r>
          </w:p>
          <w:p w:rsidR="00FB0767" w:rsidRPr="007A0129" w:rsidRDefault="00FB0767" w:rsidP="007962EC">
            <w:pPr>
              <w:pStyle w:val="BlockText"/>
              <w:rPr>
                <w:sz w:val="16"/>
                <w:szCs w:val="16"/>
              </w:rPr>
            </w:pPr>
          </w:p>
          <w:p w:rsidR="00FB0767" w:rsidRPr="003B75D4" w:rsidRDefault="00FB0767" w:rsidP="007962EC">
            <w:pPr>
              <w:pStyle w:val="BlockText"/>
            </w:pPr>
            <w:r w:rsidRPr="003B75D4">
              <w:t>Questions regarding coverage or premiums should be directed to Joe Chang at Minnesota Life at:</w:t>
            </w:r>
          </w:p>
          <w:p w:rsidR="00FB0767" w:rsidRPr="003B75D4" w:rsidRDefault="00FB0767" w:rsidP="007962EC">
            <w:pPr>
              <w:pStyle w:val="BlockText"/>
            </w:pPr>
          </w:p>
          <w:p w:rsidR="00FB0767" w:rsidRPr="003B75D4" w:rsidRDefault="00FB0767" w:rsidP="007962EC">
            <w:pPr>
              <w:ind w:firstLine="792"/>
              <w:rPr>
                <w:snapToGrid w:val="0"/>
              </w:rPr>
            </w:pPr>
            <w:r>
              <w:rPr>
                <w:snapToGrid w:val="0"/>
              </w:rPr>
              <w:t>Joe Chang,</w:t>
            </w:r>
            <w:r w:rsidRPr="003B75D4">
              <w:rPr>
                <w:snapToGrid w:val="0"/>
              </w:rPr>
              <w:t xml:space="preserve"> </w:t>
            </w:r>
            <w:smartTag w:uri="urn:schemas-microsoft-com:office:smarttags" w:element="City">
              <w:smartTag w:uri="urn:schemas-microsoft-com:office:smarttags" w:element="place">
                <w:r w:rsidRPr="003B75D4">
                  <w:rPr>
                    <w:snapToGrid w:val="0"/>
                  </w:rPr>
                  <w:t>Richmond</w:t>
                </w:r>
              </w:smartTag>
            </w:smartTag>
            <w:r w:rsidRPr="003B75D4">
              <w:rPr>
                <w:snapToGrid w:val="0"/>
              </w:rPr>
              <w:t xml:space="preserve"> Branch Office</w:t>
            </w:r>
          </w:p>
          <w:p w:rsidR="00FB0767" w:rsidRPr="003B75D4" w:rsidRDefault="00FB0767" w:rsidP="007962EC">
            <w:pPr>
              <w:ind w:firstLine="792"/>
              <w:rPr>
                <w:snapToGrid w:val="0"/>
              </w:rPr>
            </w:pPr>
            <w:r w:rsidRPr="003B75D4">
              <w:rPr>
                <w:snapToGrid w:val="0"/>
              </w:rPr>
              <w:t>joseph.chang@minnesota</w:t>
            </w:r>
            <w:r>
              <w:rPr>
                <w:snapToGrid w:val="0"/>
              </w:rPr>
              <w:t>life</w:t>
            </w:r>
            <w:r w:rsidRPr="003B75D4">
              <w:rPr>
                <w:snapToGrid w:val="0"/>
              </w:rPr>
              <w:t>.com</w:t>
            </w:r>
          </w:p>
          <w:p w:rsidR="00FB0767" w:rsidRDefault="00FB0767" w:rsidP="007962EC">
            <w:pPr>
              <w:pStyle w:val="BlockText"/>
              <w:ind w:left="-18" w:firstLine="810"/>
              <w:rPr>
                <w:snapToGrid w:val="0"/>
              </w:rPr>
            </w:pPr>
            <w:r w:rsidRPr="003B75D4">
              <w:rPr>
                <w:snapToGrid w:val="0"/>
              </w:rPr>
              <w:t>Phone: 1-800-441-2258, ext. 101</w:t>
            </w:r>
          </w:p>
          <w:p w:rsidR="00FB0767" w:rsidRPr="003B75D4" w:rsidRDefault="00FB0767" w:rsidP="007962EC">
            <w:pPr>
              <w:pStyle w:val="BlockText"/>
              <w:ind w:firstLine="792"/>
            </w:pPr>
            <w:r w:rsidRPr="003B75D4">
              <w:rPr>
                <w:snapToGrid w:val="0"/>
              </w:rPr>
              <w:t>Fax: 804-644-2460</w:t>
            </w:r>
          </w:p>
        </w:tc>
      </w:tr>
    </w:tbl>
    <w:p w:rsidR="00FB0767" w:rsidRDefault="00FB0767" w:rsidP="00FB0767">
      <w:pPr>
        <w:pStyle w:val="BlockLine"/>
        <w:ind w:left="1350"/>
        <w:rPr>
          <w:sz w:val="16"/>
          <w:szCs w:val="16"/>
        </w:rPr>
      </w:pPr>
    </w:p>
    <w:p w:rsidR="00005140" w:rsidRPr="009937C2" w:rsidRDefault="00005140" w:rsidP="00CE752D">
      <w:pPr>
        <w:rPr>
          <w:b/>
          <w:sz w:val="28"/>
          <w:szCs w:val="28"/>
        </w:rPr>
      </w:pPr>
      <w:r>
        <w:rPr>
          <w:b/>
          <w:sz w:val="28"/>
          <w:szCs w:val="28"/>
        </w:rPr>
        <w:t>Garnishment Entry and Vendor/Payee Request Reminders</w:t>
      </w:r>
    </w:p>
    <w:p w:rsidR="00005140" w:rsidRDefault="00005140" w:rsidP="00005140">
      <w:pPr>
        <w:pStyle w:val="BlockLine"/>
        <w:spacing w:before="120"/>
        <w:ind w:left="1354"/>
        <w:rPr>
          <w:sz w:val="16"/>
          <w:szCs w:val="16"/>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884"/>
      </w:tblGrid>
      <w:tr w:rsidR="008F2F1F" w:rsidRPr="003B75D4" w:rsidTr="008F2F1F">
        <w:tc>
          <w:tcPr>
            <w:tcW w:w="2268" w:type="dxa"/>
          </w:tcPr>
          <w:p w:rsidR="008F2F1F" w:rsidRPr="00D27651" w:rsidRDefault="008F2F1F" w:rsidP="003E1E06">
            <w:pPr>
              <w:pStyle w:val="Heading5"/>
              <w:rPr>
                <w:sz w:val="24"/>
                <w:szCs w:val="24"/>
              </w:rPr>
            </w:pPr>
            <w:r>
              <w:rPr>
                <w:sz w:val="24"/>
                <w:szCs w:val="24"/>
              </w:rPr>
              <w:t>Garnishment Entry</w:t>
            </w:r>
          </w:p>
        </w:tc>
        <w:tc>
          <w:tcPr>
            <w:tcW w:w="7884" w:type="dxa"/>
          </w:tcPr>
          <w:p w:rsidR="008F2F1F" w:rsidRDefault="008F2F1F" w:rsidP="008F2F1F">
            <w:r>
              <w:t>Reminders when entering a Garnishment in Payline and CIPPS:</w:t>
            </w:r>
          </w:p>
          <w:p w:rsidR="008F2F1F" w:rsidRDefault="008F2F1F" w:rsidP="008F2F1F"/>
          <w:p w:rsidR="008F2F1F" w:rsidRDefault="008F2F1F" w:rsidP="008F2F1F">
            <w:pPr>
              <w:pStyle w:val="ListParagraph"/>
              <w:numPr>
                <w:ilvl w:val="0"/>
                <w:numId w:val="8"/>
              </w:numPr>
            </w:pPr>
            <w:r>
              <w:t xml:space="preserve">When entering a Virginia Child Support Garnishment, no H0901 record is required in CIPPS, therefore, do not enter these garnishments in Payline.  These payments are sent via EFT, and the employee information associated with the deduction will be sufficient to ensure the appropriate payment is made.  </w:t>
            </w:r>
          </w:p>
          <w:p w:rsidR="008F2F1F" w:rsidRDefault="008F2F1F" w:rsidP="008F2F1F">
            <w:pPr>
              <w:pStyle w:val="ListParagraph"/>
              <w:numPr>
                <w:ilvl w:val="1"/>
                <w:numId w:val="8"/>
              </w:numPr>
            </w:pPr>
            <w:r>
              <w:t>Always use deduction number 001 for Virginia Child Support garnishments on H0ZDC.</w:t>
            </w:r>
          </w:p>
          <w:p w:rsidR="008F2F1F" w:rsidRDefault="008F2F1F" w:rsidP="008F2F1F">
            <w:pPr>
              <w:pStyle w:val="ListParagraph"/>
              <w:numPr>
                <w:ilvl w:val="1"/>
                <w:numId w:val="8"/>
              </w:numPr>
            </w:pPr>
            <w:r>
              <w:t>Always place a “0” in position 17 of the utility field of deduction number 1 on the H0ZDC screen in CIPPS.</w:t>
            </w:r>
          </w:p>
          <w:p w:rsidR="008F2F1F" w:rsidRDefault="008F2F1F" w:rsidP="008F2F1F">
            <w:pPr>
              <w:pStyle w:val="ListParagraph"/>
              <w:numPr>
                <w:ilvl w:val="0"/>
                <w:numId w:val="8"/>
              </w:numPr>
            </w:pPr>
            <w:r>
              <w:t>When entering a garnishment in Payline, remember the “Name” number selected for this garnishment.  Enter the same name/number into position 17 of the utility field on H0ZDC when setting up the deduction.  This is how the system ensures the correct deduction is associat</w:t>
            </w:r>
            <w:r w:rsidR="002B7268">
              <w:t>ed with the correct garnishment payee information.</w:t>
            </w:r>
          </w:p>
          <w:p w:rsidR="008F2F1F" w:rsidRPr="003B75D4" w:rsidRDefault="008F2F1F" w:rsidP="00B226BD">
            <w:pPr>
              <w:pStyle w:val="ListParagraph"/>
              <w:numPr>
                <w:ilvl w:val="0"/>
                <w:numId w:val="8"/>
              </w:numPr>
            </w:pPr>
            <w:r>
              <w:t>When entering data into the “Employee Number” or “Vendor/Payee Search” boxes in Payline, select the appropriate record by clicking on the Employee ID/Name or the Vendor/Payee in the box on the right.  Simply typing in the information is not sufficient.  You must select your entry from the box on the right to avoid errors.  When searching for a Vendor/Payee combination, enter the Payee information into the search box for best results.</w:t>
            </w:r>
          </w:p>
        </w:tc>
      </w:tr>
    </w:tbl>
    <w:p w:rsidR="00B226BD" w:rsidRPr="00EF3587" w:rsidRDefault="00B226BD" w:rsidP="00B226BD">
      <w:pPr>
        <w:pStyle w:val="BlockLine"/>
        <w:ind w:left="1620"/>
        <w:jc w:val="right"/>
        <w:rPr>
          <w:i/>
          <w:sz w:val="20"/>
        </w:rPr>
      </w:pPr>
      <w:r>
        <w:rPr>
          <w:i/>
          <w:sz w:val="20"/>
        </w:rPr>
        <w:t>Continued on the next page</w:t>
      </w:r>
    </w:p>
    <w:p w:rsidR="00B226BD" w:rsidRDefault="00B226BD" w:rsidP="00B226BD"/>
    <w:p w:rsidR="00902386" w:rsidRDefault="00902386">
      <w:pPr>
        <w:rPr>
          <w:b/>
          <w:sz w:val="28"/>
          <w:szCs w:val="28"/>
        </w:rPr>
      </w:pPr>
      <w:r>
        <w:rPr>
          <w:b/>
          <w:sz w:val="28"/>
          <w:szCs w:val="28"/>
        </w:rPr>
        <w:br w:type="page"/>
      </w:r>
    </w:p>
    <w:p w:rsidR="00B226BD" w:rsidRPr="009937C2" w:rsidRDefault="00B226BD" w:rsidP="00B226BD">
      <w:pPr>
        <w:rPr>
          <w:b/>
          <w:sz w:val="28"/>
          <w:szCs w:val="28"/>
        </w:rPr>
      </w:pPr>
      <w:r>
        <w:rPr>
          <w:b/>
          <w:sz w:val="28"/>
          <w:szCs w:val="28"/>
        </w:rPr>
        <w:lastRenderedPageBreak/>
        <w:t>Garnishment Entry and Vendor/Payee Request Reminders, continued</w:t>
      </w:r>
    </w:p>
    <w:p w:rsidR="00B226BD" w:rsidRDefault="00B226BD" w:rsidP="00B226BD">
      <w:pPr>
        <w:pStyle w:val="BlockLine"/>
        <w:spacing w:before="120"/>
        <w:ind w:left="1354"/>
        <w:rPr>
          <w:sz w:val="16"/>
          <w:szCs w:val="16"/>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884"/>
      </w:tblGrid>
      <w:tr w:rsidR="00B226BD" w:rsidTr="003E1E06">
        <w:trPr>
          <w:trHeight w:val="4743"/>
        </w:trPr>
        <w:tc>
          <w:tcPr>
            <w:tcW w:w="2268" w:type="dxa"/>
          </w:tcPr>
          <w:p w:rsidR="00B226BD" w:rsidRDefault="00B226BD" w:rsidP="003E1E06">
            <w:pPr>
              <w:rPr>
                <w:rFonts w:ascii="Times New Roman Bold" w:hAnsi="Times New Roman Bold"/>
                <w:szCs w:val="24"/>
              </w:rPr>
            </w:pPr>
            <w:r>
              <w:rPr>
                <w:rFonts w:ascii="Times New Roman Bold" w:hAnsi="Times New Roman Bold"/>
                <w:szCs w:val="24"/>
              </w:rPr>
              <w:t xml:space="preserve">Garnishment Entry </w:t>
            </w: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Default="00B226BD" w:rsidP="003E1E06">
            <w:pPr>
              <w:rPr>
                <w:rFonts w:ascii="Times New Roman Bold" w:hAnsi="Times New Roman Bold"/>
                <w:szCs w:val="24"/>
              </w:rPr>
            </w:pPr>
          </w:p>
          <w:p w:rsidR="00B226BD" w:rsidRPr="00867B38" w:rsidRDefault="00B226BD" w:rsidP="003E1E06">
            <w:pPr>
              <w:rPr>
                <w:rFonts w:ascii="Times New Roman Bold" w:hAnsi="Times New Roman Bold"/>
                <w:szCs w:val="24"/>
              </w:rPr>
            </w:pPr>
          </w:p>
        </w:tc>
        <w:tc>
          <w:tcPr>
            <w:tcW w:w="7884" w:type="dxa"/>
            <w:shd w:val="clear" w:color="auto" w:fill="auto"/>
          </w:tcPr>
          <w:p w:rsidR="00B226BD" w:rsidRDefault="00B226BD" w:rsidP="003E1E06">
            <w:r>
              <w:t>Reminders when entering a Garnishment in Payline and CIPPS, continued:</w:t>
            </w:r>
          </w:p>
          <w:p w:rsidR="00B226BD" w:rsidRDefault="00B226BD" w:rsidP="003E1E06"/>
          <w:p w:rsidR="00B226BD" w:rsidRDefault="00B226BD" w:rsidP="003E1E06">
            <w:pPr>
              <w:pStyle w:val="ListParagraph"/>
              <w:numPr>
                <w:ilvl w:val="1"/>
                <w:numId w:val="8"/>
              </w:numPr>
            </w:pPr>
            <w:r>
              <w:t>If the box on the right side of the page is not populating as you type into the search boxes, make these changes to your Internet Explorer settings:</w:t>
            </w:r>
          </w:p>
          <w:p w:rsidR="00B226BD" w:rsidRDefault="00B226BD" w:rsidP="003E1E06">
            <w:pPr>
              <w:pStyle w:val="ListParagraph"/>
              <w:numPr>
                <w:ilvl w:val="2"/>
                <w:numId w:val="8"/>
              </w:numPr>
            </w:pPr>
            <w:r>
              <w:t xml:space="preserve">Go to Tools &gt; Internet Options &gt; Security (tab at the top) &gt; Trust Sites (check mark).  Click on the “Sites” button.  Make sure </w:t>
            </w:r>
            <w:hyperlink r:id="rId10" w:history="1">
              <w:r w:rsidRPr="00A8435C">
                <w:rPr>
                  <w:rStyle w:val="Hyperlink"/>
                </w:rPr>
                <w:t>https://payline.doa.virginia.gov</w:t>
              </w:r>
            </w:hyperlink>
            <w:r>
              <w:t xml:space="preserve"> is listed under “Websites”.  If it is listed in the box labeled, “Add this website to this zone:”, click on the “Add” button to add Payline to your list of trusted sites.  Choose Close &gt; Ok</w:t>
            </w:r>
          </w:p>
          <w:p w:rsidR="00B226BD" w:rsidRDefault="00B226BD" w:rsidP="003E1E06">
            <w:pPr>
              <w:pStyle w:val="ListParagraph"/>
              <w:numPr>
                <w:ilvl w:val="2"/>
                <w:numId w:val="8"/>
              </w:numPr>
            </w:pPr>
            <w:r>
              <w:t xml:space="preserve">Next go to Tools &gt; Compatibility View Settings.  If </w:t>
            </w:r>
            <w:hyperlink r:id="rId11" w:history="1">
              <w:r w:rsidRPr="00A8435C">
                <w:rPr>
                  <w:rStyle w:val="Hyperlink"/>
                </w:rPr>
                <w:t>https://payline.doa.virginia.gov</w:t>
              </w:r>
            </w:hyperlink>
            <w:r>
              <w:t xml:space="preserve"> is listed in the box labeled, “Websites you’ve added to Compatibility View”, selected the site in the list and choose the “Remove” button to remove it from your Compatibility View list.</w:t>
            </w:r>
          </w:p>
        </w:tc>
      </w:tr>
    </w:tbl>
    <w:p w:rsidR="005026F6" w:rsidRDefault="005026F6" w:rsidP="005026F6">
      <w:pPr>
        <w:pStyle w:val="BlockLine"/>
        <w:ind w:left="1620"/>
      </w:pPr>
    </w:p>
    <w:tbl>
      <w:tblPr>
        <w:tblW w:w="10188" w:type="dxa"/>
        <w:tblLayout w:type="fixed"/>
        <w:tblLook w:val="0000" w:firstRow="0" w:lastRow="0" w:firstColumn="0" w:lastColumn="0" w:noHBand="0" w:noVBand="0"/>
      </w:tblPr>
      <w:tblGrid>
        <w:gridCol w:w="2268"/>
        <w:gridCol w:w="7920"/>
      </w:tblGrid>
      <w:tr w:rsidR="00C96C31" w:rsidTr="00B226BD">
        <w:trPr>
          <w:cantSplit/>
        </w:trPr>
        <w:tc>
          <w:tcPr>
            <w:tcW w:w="2268" w:type="dxa"/>
          </w:tcPr>
          <w:p w:rsidR="00C96C31" w:rsidRPr="0093253E" w:rsidRDefault="00C96C31" w:rsidP="001F533A">
            <w:pPr>
              <w:pStyle w:val="Heading5"/>
              <w:rPr>
                <w:sz w:val="24"/>
                <w:szCs w:val="24"/>
              </w:rPr>
            </w:pPr>
            <w:r w:rsidRPr="0093253E">
              <w:rPr>
                <w:rFonts w:ascii="Times New Roman Bold" w:hAnsi="Times New Roman Bold"/>
                <w:sz w:val="24"/>
                <w:szCs w:val="24"/>
              </w:rPr>
              <w:t>Vendor/Payee Request Reminders</w:t>
            </w:r>
          </w:p>
        </w:tc>
        <w:tc>
          <w:tcPr>
            <w:tcW w:w="7920" w:type="dxa"/>
          </w:tcPr>
          <w:p w:rsidR="00C96C31" w:rsidRDefault="00C96C31" w:rsidP="00C96C31">
            <w:r>
              <w:t xml:space="preserve">Reminders when filling out the “Request to Add Garnishment Vendor/Payee” form: </w:t>
            </w:r>
          </w:p>
          <w:p w:rsidR="00C96C31" w:rsidRDefault="00C96C31" w:rsidP="00C96C31">
            <w:pPr>
              <w:pStyle w:val="ListParagraph"/>
            </w:pPr>
          </w:p>
          <w:p w:rsidR="00C96C31" w:rsidRDefault="00C96C31" w:rsidP="00C96C31">
            <w:pPr>
              <w:pStyle w:val="ListParagraph"/>
              <w:numPr>
                <w:ilvl w:val="0"/>
                <w:numId w:val="7"/>
              </w:numPr>
            </w:pPr>
            <w:r>
              <w:t xml:space="preserve">Think about </w:t>
            </w:r>
            <w:r w:rsidRPr="00867B38">
              <w:rPr>
                <w:i/>
              </w:rPr>
              <w:t>who</w:t>
            </w:r>
            <w:r>
              <w:t xml:space="preserve"> the garnishment check is supposed to be mailed to, and </w:t>
            </w:r>
            <w:r w:rsidRPr="00867B38">
              <w:rPr>
                <w:i/>
              </w:rPr>
              <w:t>where</w:t>
            </w:r>
            <w:r>
              <w:t xml:space="preserve"> the garnishment check is to be mailed to.  The “Vendor” on the request form will be who the check is to be mailed to along with that vendor’s address information.</w:t>
            </w:r>
          </w:p>
          <w:p w:rsidR="00C96C31" w:rsidRDefault="00C96C31" w:rsidP="00C96C31">
            <w:pPr>
              <w:pStyle w:val="ListParagraph"/>
              <w:numPr>
                <w:ilvl w:val="0"/>
                <w:numId w:val="7"/>
              </w:numPr>
            </w:pPr>
            <w:r>
              <w:t xml:space="preserve">The “Payee” on the request form is </w:t>
            </w:r>
            <w:r w:rsidR="002B7268">
              <w:t>the entity who will receive the funds from the payment</w:t>
            </w:r>
            <w:r>
              <w:t>.</w:t>
            </w:r>
          </w:p>
          <w:p w:rsidR="00C96C31" w:rsidRDefault="00C96C31" w:rsidP="00C96C31">
            <w:pPr>
              <w:pStyle w:val="ListParagraph"/>
              <w:numPr>
                <w:ilvl w:val="0"/>
                <w:numId w:val="7"/>
              </w:numPr>
            </w:pPr>
            <w:r>
              <w:t xml:space="preserve">In some instances, the Vendor and the Payee may be the same.  For example, in the case of fees owed to the court, the court may be the Vendor and the Payee.  When this is the case, the court name only needs to be entered once in the “Vendor Name” field.  When no “Payee Name” is listed, the Vendor also becomes the Payee.     </w:t>
            </w:r>
          </w:p>
          <w:p w:rsidR="00C96C31" w:rsidRDefault="00C96C31" w:rsidP="00C96C31">
            <w:pPr>
              <w:pStyle w:val="ListParagraph"/>
              <w:numPr>
                <w:ilvl w:val="0"/>
                <w:numId w:val="7"/>
              </w:numPr>
              <w:autoSpaceDE w:val="0"/>
              <w:autoSpaceDN w:val="0"/>
              <w:adjustRightInd w:val="0"/>
            </w:pPr>
            <w:r>
              <w:t>When requesting a new vendor, such as a court, city or county government, always use the PO Box when one is available.</w:t>
            </w:r>
          </w:p>
        </w:tc>
      </w:tr>
    </w:tbl>
    <w:p w:rsidR="005026F6" w:rsidRPr="00E878DD" w:rsidRDefault="005026F6" w:rsidP="005026F6">
      <w:pPr>
        <w:pStyle w:val="BlockLine"/>
        <w:ind w:left="1620"/>
        <w:rPr>
          <w:sz w:val="16"/>
          <w:szCs w:val="16"/>
        </w:rPr>
      </w:pPr>
    </w:p>
    <w:p w:rsidR="005B3CE8" w:rsidRDefault="005B3CE8" w:rsidP="005B3CE8">
      <w:pPr>
        <w:tabs>
          <w:tab w:val="left" w:pos="990"/>
        </w:tabs>
        <w:spacing w:before="60"/>
        <w:rPr>
          <w:b/>
          <w:sz w:val="28"/>
          <w:szCs w:val="28"/>
        </w:rPr>
      </w:pPr>
      <w:r w:rsidRPr="006A7717">
        <w:rPr>
          <w:b/>
          <w:sz w:val="28"/>
          <w:szCs w:val="28"/>
        </w:rPr>
        <w:t>U053/U077 PMIS/CIPPS Data Discrepancy Reports Schedule</w:t>
      </w:r>
    </w:p>
    <w:p w:rsidR="005B3CE8" w:rsidRPr="005B3CE8" w:rsidRDefault="005B3CE8" w:rsidP="005B3CE8">
      <w:pPr>
        <w:pStyle w:val="BlockLine"/>
        <w:ind w:left="1620"/>
        <w:rPr>
          <w:sz w:val="16"/>
          <w:szCs w:val="16"/>
        </w:rPr>
      </w:pPr>
    </w:p>
    <w:tbl>
      <w:tblPr>
        <w:tblW w:w="10188" w:type="dxa"/>
        <w:tblLayout w:type="fixed"/>
        <w:tblLook w:val="0000" w:firstRow="0" w:lastRow="0" w:firstColumn="0" w:lastColumn="0" w:noHBand="0" w:noVBand="0"/>
      </w:tblPr>
      <w:tblGrid>
        <w:gridCol w:w="2268"/>
        <w:gridCol w:w="7920"/>
      </w:tblGrid>
      <w:tr w:rsidR="005B3CE8" w:rsidTr="005B3CE8">
        <w:trPr>
          <w:cantSplit/>
          <w:trHeight w:val="1548"/>
        </w:trPr>
        <w:tc>
          <w:tcPr>
            <w:tcW w:w="2268" w:type="dxa"/>
          </w:tcPr>
          <w:p w:rsidR="005B3CE8" w:rsidRDefault="005B3CE8" w:rsidP="00C65761">
            <w:pPr>
              <w:pStyle w:val="Heading5"/>
            </w:pPr>
            <w:r>
              <w:t>New Run Schedule for U053/U077 Reports</w:t>
            </w:r>
          </w:p>
        </w:tc>
        <w:tc>
          <w:tcPr>
            <w:tcW w:w="7920" w:type="dxa"/>
          </w:tcPr>
          <w:p w:rsidR="005B3CE8" w:rsidRPr="000279EA" w:rsidRDefault="005B3CE8" w:rsidP="00946335">
            <w:pPr>
              <w:pStyle w:val="Default"/>
              <w:rPr>
                <w:rFonts w:ascii="Times New Roman" w:hAnsi="Times New Roman" w:cs="Times New Roman"/>
                <w:sz w:val="22"/>
                <w:szCs w:val="22"/>
              </w:rPr>
            </w:pPr>
            <w:r>
              <w:rPr>
                <w:rFonts w:ascii="Times New Roman" w:hAnsi="Times New Roman" w:cs="Times New Roman"/>
                <w:sz w:val="22"/>
                <w:szCs w:val="22"/>
              </w:rPr>
              <w:t>The PMIS data used for the U053/U077 PMIS/CIPPS Discrepancy reports is provided to DOA twice a month</w:t>
            </w:r>
            <w:r w:rsidR="00946335">
              <w:rPr>
                <w:rFonts w:ascii="Times New Roman" w:hAnsi="Times New Roman" w:cs="Times New Roman"/>
                <w:sz w:val="22"/>
                <w:szCs w:val="22"/>
              </w:rPr>
              <w:t xml:space="preserve"> at the end of each pay period.  T</w:t>
            </w:r>
            <w:r>
              <w:rPr>
                <w:rFonts w:ascii="Times New Roman" w:hAnsi="Times New Roman" w:cs="Times New Roman"/>
                <w:sz w:val="22"/>
                <w:szCs w:val="22"/>
              </w:rPr>
              <w:t>he U053 and U077 reports will</w:t>
            </w:r>
            <w:r w:rsidR="00946335">
              <w:rPr>
                <w:rFonts w:ascii="Times New Roman" w:hAnsi="Times New Roman" w:cs="Times New Roman"/>
                <w:sz w:val="22"/>
                <w:szCs w:val="22"/>
              </w:rPr>
              <w:t xml:space="preserve"> now be </w:t>
            </w:r>
            <w:r>
              <w:rPr>
                <w:rFonts w:ascii="Times New Roman" w:hAnsi="Times New Roman" w:cs="Times New Roman"/>
                <w:sz w:val="22"/>
                <w:szCs w:val="22"/>
              </w:rPr>
              <w:t xml:space="preserve">run automatically on the </w:t>
            </w:r>
            <w:r w:rsidR="00946335">
              <w:rPr>
                <w:rFonts w:ascii="Times New Roman" w:hAnsi="Times New Roman" w:cs="Times New Roman"/>
                <w:sz w:val="22"/>
                <w:szCs w:val="22"/>
              </w:rPr>
              <w:t>first business night of each pay period.  For example, DOA will receive a new file on Monday, 9/11 and reports will be run that night.</w:t>
            </w:r>
            <w:r>
              <w:rPr>
                <w:rFonts w:ascii="Times New Roman" w:hAnsi="Times New Roman" w:cs="Times New Roman"/>
                <w:sz w:val="22"/>
                <w:szCs w:val="22"/>
              </w:rPr>
              <w:t xml:space="preserve">  This eliminates the need to request these reports manually </w:t>
            </w:r>
            <w:r w:rsidR="00946335">
              <w:rPr>
                <w:rFonts w:ascii="Times New Roman" w:hAnsi="Times New Roman" w:cs="Times New Roman"/>
                <w:sz w:val="22"/>
                <w:szCs w:val="22"/>
              </w:rPr>
              <w:t xml:space="preserve">and provides more timely information </w:t>
            </w:r>
            <w:r>
              <w:rPr>
                <w:rFonts w:ascii="Times New Roman" w:hAnsi="Times New Roman" w:cs="Times New Roman"/>
                <w:sz w:val="22"/>
                <w:szCs w:val="22"/>
              </w:rPr>
              <w:t xml:space="preserve">since they will be run each time updated PMIS data is provided to DOA.  </w:t>
            </w:r>
          </w:p>
        </w:tc>
      </w:tr>
    </w:tbl>
    <w:p w:rsidR="006A7717" w:rsidRPr="006A7717" w:rsidRDefault="006A7717" w:rsidP="00E878DD"/>
    <w:sectPr w:rsidR="006A7717" w:rsidRPr="006A7717" w:rsidSect="00E878DD">
      <w:headerReference w:type="default" r:id="rId12"/>
      <w:footerReference w:type="default" r:id="rId13"/>
      <w:pgSz w:w="12240" w:h="15840" w:code="1"/>
      <w:pgMar w:top="720" w:right="1152" w:bottom="360" w:left="1152"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CC" w:rsidRDefault="00BC70CC">
      <w:r>
        <w:separator/>
      </w:r>
    </w:p>
  </w:endnote>
  <w:endnote w:type="continuationSeparator" w:id="0">
    <w:p w:rsidR="00BC70CC" w:rsidRDefault="00BC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4" w:rsidRPr="00E878DD" w:rsidRDefault="00CA1614" w:rsidP="00C57D24">
    <w:pPr>
      <w:pStyle w:val="Footer"/>
      <w:pBdr>
        <w:top w:val="single" w:sz="6" w:space="0" w:color="auto"/>
      </w:pBdr>
      <w:tabs>
        <w:tab w:val="clear" w:pos="4320"/>
        <w:tab w:val="clear" w:pos="8640"/>
        <w:tab w:val="left" w:pos="5940"/>
      </w:tabs>
      <w:ind w:right="-414"/>
      <w:jc w:val="center"/>
      <w:rPr>
        <w:rStyle w:val="PageNumber"/>
        <w:snapToGrid w:val="0"/>
        <w:sz w:val="16"/>
        <w:szCs w:val="16"/>
      </w:rPr>
    </w:pPr>
    <w:r>
      <w:rPr>
        <w:rStyle w:val="PageNumber"/>
        <w:snapToGrid w:val="0"/>
        <w:sz w:val="22"/>
      </w:rPr>
      <w:t xml:space="preserve">Page </w:t>
    </w:r>
    <w:r w:rsidR="005964A7">
      <w:rPr>
        <w:rStyle w:val="PageNumber"/>
      </w:rPr>
      <w:fldChar w:fldCharType="begin"/>
    </w:r>
    <w:r>
      <w:rPr>
        <w:rStyle w:val="PageNumber"/>
      </w:rPr>
      <w:instrText xml:space="preserve"> PAGE </w:instrText>
    </w:r>
    <w:r w:rsidR="005964A7">
      <w:rPr>
        <w:rStyle w:val="PageNumber"/>
      </w:rPr>
      <w:fldChar w:fldCharType="separate"/>
    </w:r>
    <w:r w:rsidR="00724605">
      <w:rPr>
        <w:rStyle w:val="PageNumber"/>
        <w:noProof/>
      </w:rPr>
      <w:t>5</w:t>
    </w:r>
    <w:r w:rsidR="005964A7">
      <w:rPr>
        <w:rStyle w:val="PageNumber"/>
      </w:rPr>
      <w:fldChar w:fldCharType="end"/>
    </w:r>
    <w:r>
      <w:rPr>
        <w:rStyle w:val="PageNumber"/>
        <w:snapToGrid w:val="0"/>
        <w:sz w:val="22"/>
      </w:rPr>
      <w:t xml:space="preserve"> of </w:t>
    </w:r>
    <w:r w:rsidR="005964A7">
      <w:rPr>
        <w:rStyle w:val="PageNumber"/>
      </w:rPr>
      <w:fldChar w:fldCharType="begin"/>
    </w:r>
    <w:r>
      <w:rPr>
        <w:rStyle w:val="PageNumber"/>
      </w:rPr>
      <w:instrText xml:space="preserve"> NUMPAGES </w:instrText>
    </w:r>
    <w:r w:rsidR="005964A7">
      <w:rPr>
        <w:rStyle w:val="PageNumber"/>
      </w:rPr>
      <w:fldChar w:fldCharType="separate"/>
    </w:r>
    <w:r w:rsidR="00724605">
      <w:rPr>
        <w:rStyle w:val="PageNumber"/>
        <w:noProof/>
      </w:rPr>
      <w:t>5</w:t>
    </w:r>
    <w:r w:rsidR="005964A7">
      <w:rPr>
        <w:rStyle w:val="PageNumber"/>
      </w:rPr>
      <w:fldChar w:fldCharType="end"/>
    </w:r>
  </w:p>
  <w:p w:rsidR="00CA1614" w:rsidRPr="00E878DD" w:rsidRDefault="00724605" w:rsidP="00C57D24">
    <w:pPr>
      <w:pStyle w:val="NormalWeb"/>
      <w:jc w:val="center"/>
      <w:rPr>
        <w:i/>
        <w:snapToGrid w:val="0"/>
        <w:sz w:val="16"/>
        <w:szCs w:val="16"/>
      </w:rPr>
    </w:pPr>
    <w:hyperlink r:id="rId1" w:tooltip="http://www.doa.virginia.gov/Payroll/Payroll_Bulletins/Payroll_Bulletins_Main.cfm" w:history="1">
      <w:r w:rsidR="00CA1614" w:rsidRPr="00CB0FD2">
        <w:rPr>
          <w:rStyle w:val="Hyperlink"/>
          <w:rFonts w:ascii="Times New Roman" w:hAnsi="Times New Roman"/>
          <w:i/>
          <w:iCs/>
          <w:snapToGrid w:val="0"/>
          <w:color w:val="auto"/>
          <w:sz w:val="22"/>
          <w:szCs w:val="22"/>
        </w:rPr>
        <w:t>http://www.doa.virginia.gov/Payroll/Payroll_Bulletins/Payroll_Bulletins_Main.cfm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CC" w:rsidRDefault="00BC70CC">
      <w:r>
        <w:separator/>
      </w:r>
    </w:p>
  </w:footnote>
  <w:footnote w:type="continuationSeparator" w:id="0">
    <w:p w:rsidR="00BC70CC" w:rsidRDefault="00BC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rsidTr="00A97993">
      <w:trPr>
        <w:cantSplit/>
      </w:trPr>
      <w:tc>
        <w:tcPr>
          <w:tcW w:w="3366" w:type="dxa"/>
          <w:tcBorders>
            <w:bottom w:val="double" w:sz="6" w:space="0" w:color="auto"/>
          </w:tcBorders>
        </w:tcPr>
        <w:p w:rsidR="00CA1614" w:rsidRDefault="00CA1614" w:rsidP="000B28B1">
          <w:pPr>
            <w:pStyle w:val="Header"/>
            <w:rPr>
              <w:b/>
              <w:sz w:val="20"/>
            </w:rPr>
          </w:pPr>
          <w:r>
            <w:rPr>
              <w:b/>
              <w:sz w:val="20"/>
            </w:rPr>
            <w:t>Calendar Year 201</w:t>
          </w:r>
          <w:r w:rsidR="0027465D">
            <w:rPr>
              <w:b/>
              <w:sz w:val="20"/>
            </w:rPr>
            <w:t>7</w:t>
          </w:r>
        </w:p>
      </w:tc>
      <w:tc>
        <w:tcPr>
          <w:tcW w:w="3366" w:type="dxa"/>
          <w:tcBorders>
            <w:bottom w:val="double" w:sz="6" w:space="0" w:color="auto"/>
          </w:tcBorders>
        </w:tcPr>
        <w:p w:rsidR="00CA1614" w:rsidRDefault="00EA335F" w:rsidP="0049785C">
          <w:pPr>
            <w:pStyle w:val="Header"/>
            <w:jc w:val="center"/>
            <w:rPr>
              <w:b/>
              <w:sz w:val="20"/>
            </w:rPr>
          </w:pPr>
          <w:r>
            <w:rPr>
              <w:b/>
              <w:sz w:val="20"/>
            </w:rPr>
            <w:t xml:space="preserve">September </w:t>
          </w:r>
          <w:r w:rsidR="0049785C">
            <w:rPr>
              <w:b/>
              <w:sz w:val="20"/>
            </w:rPr>
            <w:t>7</w:t>
          </w:r>
          <w:r>
            <w:rPr>
              <w:b/>
              <w:sz w:val="20"/>
            </w:rPr>
            <w:t>, 2017</w:t>
          </w:r>
        </w:p>
      </w:tc>
      <w:tc>
        <w:tcPr>
          <w:tcW w:w="3456" w:type="dxa"/>
          <w:tcBorders>
            <w:bottom w:val="double" w:sz="6" w:space="0" w:color="auto"/>
          </w:tcBorders>
        </w:tcPr>
        <w:p w:rsidR="00CA1614" w:rsidRDefault="00CA1614" w:rsidP="00EA335F">
          <w:pPr>
            <w:pStyle w:val="Header"/>
            <w:jc w:val="right"/>
            <w:rPr>
              <w:b/>
              <w:sz w:val="20"/>
            </w:rPr>
          </w:pPr>
          <w:r>
            <w:rPr>
              <w:b/>
              <w:sz w:val="20"/>
            </w:rPr>
            <w:t>Volume 201</w:t>
          </w:r>
          <w:r w:rsidR="0027465D">
            <w:rPr>
              <w:b/>
              <w:sz w:val="20"/>
            </w:rPr>
            <w:t>7</w:t>
          </w:r>
          <w:r>
            <w:rPr>
              <w:b/>
              <w:sz w:val="20"/>
            </w:rPr>
            <w:t>-0</w:t>
          </w:r>
          <w:r w:rsidR="00EA335F">
            <w:rPr>
              <w:b/>
              <w:sz w:val="20"/>
            </w:rPr>
            <w:t>9</w:t>
          </w:r>
        </w:p>
      </w:tc>
    </w:tr>
  </w:tbl>
  <w:p w:rsidR="00CA1614" w:rsidRDefault="00CA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485131"/>
    <w:multiLevelType w:val="hybridMultilevel"/>
    <w:tmpl w:val="07F2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2B356D1"/>
    <w:multiLevelType w:val="hybridMultilevel"/>
    <w:tmpl w:val="D22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B3DDB"/>
    <w:multiLevelType w:val="hybridMultilevel"/>
    <w:tmpl w:val="94A4FEF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9C1BFF"/>
    <w:multiLevelType w:val="multilevel"/>
    <w:tmpl w:val="8BE2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1"/>
  </w:num>
  <w:num w:numId="8">
    <w:abstractNumId w:val="4"/>
  </w:num>
  <w:num w:numId="9">
    <w:abstractNumId w:val="5"/>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3CE8"/>
    <w:rsid w:val="00005140"/>
    <w:rsid w:val="00014DB8"/>
    <w:rsid w:val="000209CA"/>
    <w:rsid w:val="000229A0"/>
    <w:rsid w:val="000279EA"/>
    <w:rsid w:val="00043BD6"/>
    <w:rsid w:val="00044DB9"/>
    <w:rsid w:val="00047231"/>
    <w:rsid w:val="00054804"/>
    <w:rsid w:val="00070795"/>
    <w:rsid w:val="00072296"/>
    <w:rsid w:val="0007530F"/>
    <w:rsid w:val="00082E11"/>
    <w:rsid w:val="000A3E0D"/>
    <w:rsid w:val="000B28B1"/>
    <w:rsid w:val="000C68B5"/>
    <w:rsid w:val="000D0C78"/>
    <w:rsid w:val="000D74B2"/>
    <w:rsid w:val="000E19F0"/>
    <w:rsid w:val="000E78C4"/>
    <w:rsid w:val="000F2804"/>
    <w:rsid w:val="0010004E"/>
    <w:rsid w:val="00121F17"/>
    <w:rsid w:val="00132054"/>
    <w:rsid w:val="00142D4F"/>
    <w:rsid w:val="001455A7"/>
    <w:rsid w:val="00145C24"/>
    <w:rsid w:val="00145CE4"/>
    <w:rsid w:val="00151C52"/>
    <w:rsid w:val="001606F6"/>
    <w:rsid w:val="001834DC"/>
    <w:rsid w:val="001855DF"/>
    <w:rsid w:val="00186D13"/>
    <w:rsid w:val="001908BF"/>
    <w:rsid w:val="00192D99"/>
    <w:rsid w:val="00196E82"/>
    <w:rsid w:val="001C4915"/>
    <w:rsid w:val="001D79E3"/>
    <w:rsid w:val="001E07BF"/>
    <w:rsid w:val="001E2A32"/>
    <w:rsid w:val="001E3CD4"/>
    <w:rsid w:val="002004BF"/>
    <w:rsid w:val="0020233B"/>
    <w:rsid w:val="002066C6"/>
    <w:rsid w:val="00207D3F"/>
    <w:rsid w:val="002117EB"/>
    <w:rsid w:val="0021369D"/>
    <w:rsid w:val="002145D4"/>
    <w:rsid w:val="00224F21"/>
    <w:rsid w:val="0022524D"/>
    <w:rsid w:val="00226EB6"/>
    <w:rsid w:val="00236ED6"/>
    <w:rsid w:val="002431D0"/>
    <w:rsid w:val="002437BB"/>
    <w:rsid w:val="002440F5"/>
    <w:rsid w:val="0024614F"/>
    <w:rsid w:val="00250986"/>
    <w:rsid w:val="002544F2"/>
    <w:rsid w:val="002556AC"/>
    <w:rsid w:val="00270DA2"/>
    <w:rsid w:val="0027465D"/>
    <w:rsid w:val="00282CD8"/>
    <w:rsid w:val="00284B3E"/>
    <w:rsid w:val="00294BD1"/>
    <w:rsid w:val="002A523D"/>
    <w:rsid w:val="002A5A3E"/>
    <w:rsid w:val="002B333F"/>
    <w:rsid w:val="002B566E"/>
    <w:rsid w:val="002B6B60"/>
    <w:rsid w:val="002B71D7"/>
    <w:rsid w:val="002B7268"/>
    <w:rsid w:val="002C679F"/>
    <w:rsid w:val="002D27FC"/>
    <w:rsid w:val="002E26C0"/>
    <w:rsid w:val="002F056D"/>
    <w:rsid w:val="002F6315"/>
    <w:rsid w:val="002F7E33"/>
    <w:rsid w:val="00304AD9"/>
    <w:rsid w:val="0030589E"/>
    <w:rsid w:val="00307DE8"/>
    <w:rsid w:val="00310568"/>
    <w:rsid w:val="00333FFF"/>
    <w:rsid w:val="003428B4"/>
    <w:rsid w:val="00357B76"/>
    <w:rsid w:val="00363289"/>
    <w:rsid w:val="00372D1A"/>
    <w:rsid w:val="003857CD"/>
    <w:rsid w:val="00395150"/>
    <w:rsid w:val="003A1E02"/>
    <w:rsid w:val="003A44B8"/>
    <w:rsid w:val="003B09C4"/>
    <w:rsid w:val="003B0EC9"/>
    <w:rsid w:val="003B27B7"/>
    <w:rsid w:val="003B2B96"/>
    <w:rsid w:val="003B54DA"/>
    <w:rsid w:val="003C2DBC"/>
    <w:rsid w:val="003D27B3"/>
    <w:rsid w:val="003D6CB6"/>
    <w:rsid w:val="003E210F"/>
    <w:rsid w:val="003E3ABB"/>
    <w:rsid w:val="003E5F66"/>
    <w:rsid w:val="003E6672"/>
    <w:rsid w:val="003E68D6"/>
    <w:rsid w:val="003F56A1"/>
    <w:rsid w:val="004029E1"/>
    <w:rsid w:val="00402E35"/>
    <w:rsid w:val="004072E7"/>
    <w:rsid w:val="0041061D"/>
    <w:rsid w:val="00411394"/>
    <w:rsid w:val="0041326B"/>
    <w:rsid w:val="00415768"/>
    <w:rsid w:val="00443137"/>
    <w:rsid w:val="00443956"/>
    <w:rsid w:val="004454CA"/>
    <w:rsid w:val="00455825"/>
    <w:rsid w:val="00467EFF"/>
    <w:rsid w:val="00467F3A"/>
    <w:rsid w:val="004810E1"/>
    <w:rsid w:val="00484094"/>
    <w:rsid w:val="0049785C"/>
    <w:rsid w:val="004A11AF"/>
    <w:rsid w:val="004A18BA"/>
    <w:rsid w:val="004A1959"/>
    <w:rsid w:val="004A600E"/>
    <w:rsid w:val="004A79C1"/>
    <w:rsid w:val="004F5173"/>
    <w:rsid w:val="004F569D"/>
    <w:rsid w:val="00500AC9"/>
    <w:rsid w:val="005026F6"/>
    <w:rsid w:val="005059D8"/>
    <w:rsid w:val="00544D83"/>
    <w:rsid w:val="00545EED"/>
    <w:rsid w:val="005464B5"/>
    <w:rsid w:val="0056085F"/>
    <w:rsid w:val="00562AD7"/>
    <w:rsid w:val="005668A2"/>
    <w:rsid w:val="00573015"/>
    <w:rsid w:val="00574539"/>
    <w:rsid w:val="005759A7"/>
    <w:rsid w:val="00586656"/>
    <w:rsid w:val="005914E1"/>
    <w:rsid w:val="00595482"/>
    <w:rsid w:val="005964A7"/>
    <w:rsid w:val="005A2EF4"/>
    <w:rsid w:val="005A7200"/>
    <w:rsid w:val="005B3CE8"/>
    <w:rsid w:val="005B3E5E"/>
    <w:rsid w:val="005C1612"/>
    <w:rsid w:val="005C1C97"/>
    <w:rsid w:val="005C2695"/>
    <w:rsid w:val="005C2FAF"/>
    <w:rsid w:val="005F11CB"/>
    <w:rsid w:val="005F1B4E"/>
    <w:rsid w:val="005F5734"/>
    <w:rsid w:val="00604F07"/>
    <w:rsid w:val="00605949"/>
    <w:rsid w:val="00607426"/>
    <w:rsid w:val="00612C46"/>
    <w:rsid w:val="00612D0F"/>
    <w:rsid w:val="00625AD5"/>
    <w:rsid w:val="006376CF"/>
    <w:rsid w:val="00637959"/>
    <w:rsid w:val="006555B6"/>
    <w:rsid w:val="00663266"/>
    <w:rsid w:val="00666FEE"/>
    <w:rsid w:val="0067449B"/>
    <w:rsid w:val="00690402"/>
    <w:rsid w:val="006A7717"/>
    <w:rsid w:val="006B0140"/>
    <w:rsid w:val="006C3D85"/>
    <w:rsid w:val="006D1ACC"/>
    <w:rsid w:val="006D4792"/>
    <w:rsid w:val="006E39C8"/>
    <w:rsid w:val="006F3191"/>
    <w:rsid w:val="006F71BA"/>
    <w:rsid w:val="00700615"/>
    <w:rsid w:val="00703D09"/>
    <w:rsid w:val="00713C0F"/>
    <w:rsid w:val="00724605"/>
    <w:rsid w:val="007410A9"/>
    <w:rsid w:val="00751173"/>
    <w:rsid w:val="00763A54"/>
    <w:rsid w:val="00767085"/>
    <w:rsid w:val="007750D1"/>
    <w:rsid w:val="007842FF"/>
    <w:rsid w:val="0079507B"/>
    <w:rsid w:val="00795E38"/>
    <w:rsid w:val="007A1CB6"/>
    <w:rsid w:val="007A33CD"/>
    <w:rsid w:val="007A39C2"/>
    <w:rsid w:val="007A45E6"/>
    <w:rsid w:val="007A6CA6"/>
    <w:rsid w:val="007B5E26"/>
    <w:rsid w:val="007C13DE"/>
    <w:rsid w:val="007D074F"/>
    <w:rsid w:val="007D253D"/>
    <w:rsid w:val="007D58FF"/>
    <w:rsid w:val="007E70AD"/>
    <w:rsid w:val="007F0460"/>
    <w:rsid w:val="007F6291"/>
    <w:rsid w:val="00801B20"/>
    <w:rsid w:val="0080737F"/>
    <w:rsid w:val="00813465"/>
    <w:rsid w:val="00813664"/>
    <w:rsid w:val="00825F90"/>
    <w:rsid w:val="00831C71"/>
    <w:rsid w:val="00855075"/>
    <w:rsid w:val="008601F2"/>
    <w:rsid w:val="008605E3"/>
    <w:rsid w:val="00866D8C"/>
    <w:rsid w:val="00867B38"/>
    <w:rsid w:val="0087407E"/>
    <w:rsid w:val="008869DA"/>
    <w:rsid w:val="00890110"/>
    <w:rsid w:val="008A0C0D"/>
    <w:rsid w:val="008A1F54"/>
    <w:rsid w:val="008C3166"/>
    <w:rsid w:val="008C46BD"/>
    <w:rsid w:val="008C532E"/>
    <w:rsid w:val="008D08E6"/>
    <w:rsid w:val="008D13BB"/>
    <w:rsid w:val="008D453C"/>
    <w:rsid w:val="008D484D"/>
    <w:rsid w:val="008E75C6"/>
    <w:rsid w:val="008E79A4"/>
    <w:rsid w:val="008F0883"/>
    <w:rsid w:val="008F2F1F"/>
    <w:rsid w:val="008F7BB9"/>
    <w:rsid w:val="00902386"/>
    <w:rsid w:val="00906909"/>
    <w:rsid w:val="00907D28"/>
    <w:rsid w:val="009170A0"/>
    <w:rsid w:val="00923A80"/>
    <w:rsid w:val="009244E1"/>
    <w:rsid w:val="00926D59"/>
    <w:rsid w:val="00930FBB"/>
    <w:rsid w:val="009324ED"/>
    <w:rsid w:val="0093253E"/>
    <w:rsid w:val="009446A6"/>
    <w:rsid w:val="00946335"/>
    <w:rsid w:val="00946683"/>
    <w:rsid w:val="00952C2D"/>
    <w:rsid w:val="0097060C"/>
    <w:rsid w:val="0097229C"/>
    <w:rsid w:val="009757B2"/>
    <w:rsid w:val="009825D3"/>
    <w:rsid w:val="0099065A"/>
    <w:rsid w:val="00993D57"/>
    <w:rsid w:val="00996E78"/>
    <w:rsid w:val="009A1992"/>
    <w:rsid w:val="009A1ED1"/>
    <w:rsid w:val="009B12EC"/>
    <w:rsid w:val="009C2027"/>
    <w:rsid w:val="009D4E40"/>
    <w:rsid w:val="009D605A"/>
    <w:rsid w:val="009E5B20"/>
    <w:rsid w:val="009E62D7"/>
    <w:rsid w:val="009E6831"/>
    <w:rsid w:val="009F1038"/>
    <w:rsid w:val="009F208B"/>
    <w:rsid w:val="009F7CC0"/>
    <w:rsid w:val="00A072AC"/>
    <w:rsid w:val="00A13791"/>
    <w:rsid w:val="00A14748"/>
    <w:rsid w:val="00A25262"/>
    <w:rsid w:val="00A302AF"/>
    <w:rsid w:val="00A322F4"/>
    <w:rsid w:val="00A33753"/>
    <w:rsid w:val="00A3416F"/>
    <w:rsid w:val="00A3637D"/>
    <w:rsid w:val="00A4553B"/>
    <w:rsid w:val="00A46927"/>
    <w:rsid w:val="00A50814"/>
    <w:rsid w:val="00A51427"/>
    <w:rsid w:val="00A62067"/>
    <w:rsid w:val="00A652B4"/>
    <w:rsid w:val="00A724C2"/>
    <w:rsid w:val="00A768BD"/>
    <w:rsid w:val="00A7780F"/>
    <w:rsid w:val="00A90EE2"/>
    <w:rsid w:val="00A9101F"/>
    <w:rsid w:val="00A94B4A"/>
    <w:rsid w:val="00A97993"/>
    <w:rsid w:val="00AA24CF"/>
    <w:rsid w:val="00AB148F"/>
    <w:rsid w:val="00AC21E2"/>
    <w:rsid w:val="00AC2383"/>
    <w:rsid w:val="00AD1D8A"/>
    <w:rsid w:val="00AD77F3"/>
    <w:rsid w:val="00AE0AA4"/>
    <w:rsid w:val="00AE4277"/>
    <w:rsid w:val="00AF2E00"/>
    <w:rsid w:val="00B00670"/>
    <w:rsid w:val="00B027AD"/>
    <w:rsid w:val="00B02D19"/>
    <w:rsid w:val="00B038BB"/>
    <w:rsid w:val="00B226BD"/>
    <w:rsid w:val="00B32AE2"/>
    <w:rsid w:val="00B377F5"/>
    <w:rsid w:val="00B37C23"/>
    <w:rsid w:val="00B40842"/>
    <w:rsid w:val="00B437F3"/>
    <w:rsid w:val="00B532BA"/>
    <w:rsid w:val="00B56B84"/>
    <w:rsid w:val="00B56C4E"/>
    <w:rsid w:val="00B80D4C"/>
    <w:rsid w:val="00B84CB0"/>
    <w:rsid w:val="00B87D23"/>
    <w:rsid w:val="00B93547"/>
    <w:rsid w:val="00BA0A2C"/>
    <w:rsid w:val="00BA2F1B"/>
    <w:rsid w:val="00BA60BC"/>
    <w:rsid w:val="00BA66C6"/>
    <w:rsid w:val="00BB1E81"/>
    <w:rsid w:val="00BC70CC"/>
    <w:rsid w:val="00BC7496"/>
    <w:rsid w:val="00BD40FD"/>
    <w:rsid w:val="00BD79A3"/>
    <w:rsid w:val="00BE6D53"/>
    <w:rsid w:val="00BF068C"/>
    <w:rsid w:val="00BF3FCC"/>
    <w:rsid w:val="00C0106C"/>
    <w:rsid w:val="00C05D8F"/>
    <w:rsid w:val="00C11B29"/>
    <w:rsid w:val="00C12718"/>
    <w:rsid w:val="00C278C3"/>
    <w:rsid w:val="00C3692E"/>
    <w:rsid w:val="00C45485"/>
    <w:rsid w:val="00C520C1"/>
    <w:rsid w:val="00C5471B"/>
    <w:rsid w:val="00C54930"/>
    <w:rsid w:val="00C55E26"/>
    <w:rsid w:val="00C57D24"/>
    <w:rsid w:val="00C63DA8"/>
    <w:rsid w:val="00C64B98"/>
    <w:rsid w:val="00C74456"/>
    <w:rsid w:val="00C753A7"/>
    <w:rsid w:val="00C96C31"/>
    <w:rsid w:val="00C97FB5"/>
    <w:rsid w:val="00CA02E2"/>
    <w:rsid w:val="00CA1614"/>
    <w:rsid w:val="00CA2B6C"/>
    <w:rsid w:val="00CB0FD2"/>
    <w:rsid w:val="00CC0E20"/>
    <w:rsid w:val="00CD4B3F"/>
    <w:rsid w:val="00CE18D8"/>
    <w:rsid w:val="00CE2BF4"/>
    <w:rsid w:val="00CE5E54"/>
    <w:rsid w:val="00CE752D"/>
    <w:rsid w:val="00CF4479"/>
    <w:rsid w:val="00CF5444"/>
    <w:rsid w:val="00D0593F"/>
    <w:rsid w:val="00D0772A"/>
    <w:rsid w:val="00D16D84"/>
    <w:rsid w:val="00D235BE"/>
    <w:rsid w:val="00D23F49"/>
    <w:rsid w:val="00D24E49"/>
    <w:rsid w:val="00D26CA0"/>
    <w:rsid w:val="00D31E1F"/>
    <w:rsid w:val="00D32458"/>
    <w:rsid w:val="00D35005"/>
    <w:rsid w:val="00D355DD"/>
    <w:rsid w:val="00D36665"/>
    <w:rsid w:val="00D43441"/>
    <w:rsid w:val="00D548AF"/>
    <w:rsid w:val="00D7413B"/>
    <w:rsid w:val="00D75911"/>
    <w:rsid w:val="00D77666"/>
    <w:rsid w:val="00D77E97"/>
    <w:rsid w:val="00D814ED"/>
    <w:rsid w:val="00D91CF8"/>
    <w:rsid w:val="00D93B92"/>
    <w:rsid w:val="00D96E2A"/>
    <w:rsid w:val="00DA1375"/>
    <w:rsid w:val="00DA7805"/>
    <w:rsid w:val="00DB218B"/>
    <w:rsid w:val="00DD1147"/>
    <w:rsid w:val="00DD1A6E"/>
    <w:rsid w:val="00DE0E60"/>
    <w:rsid w:val="00DF4DE7"/>
    <w:rsid w:val="00E02938"/>
    <w:rsid w:val="00E03297"/>
    <w:rsid w:val="00E062A0"/>
    <w:rsid w:val="00E240DA"/>
    <w:rsid w:val="00E25E95"/>
    <w:rsid w:val="00E278AD"/>
    <w:rsid w:val="00E4057F"/>
    <w:rsid w:val="00E455B1"/>
    <w:rsid w:val="00E46605"/>
    <w:rsid w:val="00E563C9"/>
    <w:rsid w:val="00E63A29"/>
    <w:rsid w:val="00E64B6B"/>
    <w:rsid w:val="00E65BCE"/>
    <w:rsid w:val="00E72348"/>
    <w:rsid w:val="00E8444C"/>
    <w:rsid w:val="00E846A7"/>
    <w:rsid w:val="00E878DD"/>
    <w:rsid w:val="00E87A3D"/>
    <w:rsid w:val="00E96970"/>
    <w:rsid w:val="00EA335F"/>
    <w:rsid w:val="00EA67F0"/>
    <w:rsid w:val="00EB773E"/>
    <w:rsid w:val="00ED7A73"/>
    <w:rsid w:val="00EE0021"/>
    <w:rsid w:val="00EF0B6E"/>
    <w:rsid w:val="00EF2B82"/>
    <w:rsid w:val="00EF3587"/>
    <w:rsid w:val="00EF377B"/>
    <w:rsid w:val="00EF3BA6"/>
    <w:rsid w:val="00F02D2F"/>
    <w:rsid w:val="00F13613"/>
    <w:rsid w:val="00F215C2"/>
    <w:rsid w:val="00F3320E"/>
    <w:rsid w:val="00F43DB3"/>
    <w:rsid w:val="00F54415"/>
    <w:rsid w:val="00F70A09"/>
    <w:rsid w:val="00F81A28"/>
    <w:rsid w:val="00F84B23"/>
    <w:rsid w:val="00F866F0"/>
    <w:rsid w:val="00F878FB"/>
    <w:rsid w:val="00F93F7B"/>
    <w:rsid w:val="00F95DA3"/>
    <w:rsid w:val="00FA65B1"/>
    <w:rsid w:val="00FB0767"/>
    <w:rsid w:val="00FB0D97"/>
    <w:rsid w:val="00FB28AA"/>
    <w:rsid w:val="00FC5FA7"/>
    <w:rsid w:val="00FC71E5"/>
    <w:rsid w:val="00FD0CDD"/>
    <w:rsid w:val="00FD0E6C"/>
    <w:rsid w:val="00FD1575"/>
    <w:rsid w:val="00FD187D"/>
    <w:rsid w:val="00FD41D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link w:val="Heading5Char"/>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 w:type="character" w:customStyle="1" w:styleId="Heading5Char">
    <w:name w:val="Heading 5 Char"/>
    <w:aliases w:val="Block Label Char"/>
    <w:basedOn w:val="DefaultParagraphFont"/>
    <w:link w:val="Heading5"/>
    <w:rsid w:val="00FB0767"/>
    <w:rPr>
      <w:b/>
      <w:sz w:val="22"/>
    </w:rPr>
  </w:style>
  <w:style w:type="character" w:customStyle="1" w:styleId="HeaderChar">
    <w:name w:val="Header Char"/>
    <w:basedOn w:val="DefaultParagraphFont"/>
    <w:link w:val="Header"/>
    <w:rsid w:val="00FB0767"/>
    <w:rPr>
      <w:sz w:val="24"/>
    </w:rPr>
  </w:style>
  <w:style w:type="paragraph" w:customStyle="1" w:styleId="CM7">
    <w:name w:val="CM7"/>
    <w:basedOn w:val="Default"/>
    <w:next w:val="Default"/>
    <w:uiPriority w:val="99"/>
    <w:rsid w:val="00D77E97"/>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link w:val="Heading5Char"/>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 w:type="character" w:customStyle="1" w:styleId="Heading5Char">
    <w:name w:val="Heading 5 Char"/>
    <w:aliases w:val="Block Label Char"/>
    <w:basedOn w:val="DefaultParagraphFont"/>
    <w:link w:val="Heading5"/>
    <w:rsid w:val="00FB0767"/>
    <w:rPr>
      <w:b/>
      <w:sz w:val="22"/>
    </w:rPr>
  </w:style>
  <w:style w:type="character" w:customStyle="1" w:styleId="HeaderChar">
    <w:name w:val="Header Char"/>
    <w:basedOn w:val="DefaultParagraphFont"/>
    <w:link w:val="Header"/>
    <w:rsid w:val="00FB0767"/>
    <w:rPr>
      <w:sz w:val="24"/>
    </w:rPr>
  </w:style>
  <w:style w:type="paragraph" w:customStyle="1" w:styleId="CM7">
    <w:name w:val="CM7"/>
    <w:basedOn w:val="Default"/>
    <w:next w:val="Default"/>
    <w:uiPriority w:val="99"/>
    <w:rsid w:val="00D77E97"/>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578">
      <w:bodyDiv w:val="1"/>
      <w:marLeft w:val="0"/>
      <w:marRight w:val="0"/>
      <w:marTop w:val="0"/>
      <w:marBottom w:val="0"/>
      <w:divBdr>
        <w:top w:val="none" w:sz="0" w:space="0" w:color="auto"/>
        <w:left w:val="none" w:sz="0" w:space="0" w:color="auto"/>
        <w:bottom w:val="none" w:sz="0" w:space="0" w:color="auto"/>
        <w:right w:val="none" w:sz="0" w:space="0" w:color="auto"/>
      </w:divBdr>
    </w:div>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 w:id="1913810863">
      <w:bodyDiv w:val="1"/>
      <w:marLeft w:val="0"/>
      <w:marRight w:val="0"/>
      <w:marTop w:val="0"/>
      <w:marBottom w:val="0"/>
      <w:divBdr>
        <w:top w:val="none" w:sz="0" w:space="0" w:color="auto"/>
        <w:left w:val="none" w:sz="0" w:space="0" w:color="auto"/>
        <w:bottom w:val="none" w:sz="0" w:space="0" w:color="auto"/>
        <w:right w:val="none" w:sz="0" w:space="0" w:color="auto"/>
      </w:divBdr>
      <w:divsChild>
        <w:div w:id="21327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yline.doa.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yline.doa.virginia.gov" TargetMode="External"/><Relationship Id="rId4" Type="http://schemas.openxmlformats.org/officeDocument/2006/relationships/settings" Target="settings.xml"/><Relationship Id="rId9" Type="http://schemas.openxmlformats.org/officeDocument/2006/relationships/hyperlink" Target="http://www.dhrm.virginia.gov/docs/default-source/compensationdocuments/17-18-memo-final.pdf?sfvrsn=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0</TotalTime>
  <Pages>5</Pages>
  <Words>1873</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12159</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jrk37457</dc:creator>
  <cp:keywords>Payroll Bulletin</cp:keywords>
  <cp:lastModifiedBy>Attuso, Diana (DOA)</cp:lastModifiedBy>
  <cp:revision>2</cp:revision>
  <cp:lastPrinted>2012-09-07T16:24:00Z</cp:lastPrinted>
  <dcterms:created xsi:type="dcterms:W3CDTF">2017-09-08T16:54:00Z</dcterms:created>
  <dcterms:modified xsi:type="dcterms:W3CDTF">2017-09-08T16:54:00Z</dcterms:modified>
  <cp:category>Payroll Bulletin</cp:category>
</cp:coreProperties>
</file>