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258"/>
        <w:gridCol w:w="3366"/>
        <w:gridCol w:w="4176"/>
      </w:tblGrid>
      <w:tr w:rsidR="007C617C" w:rsidTr="00794E64">
        <w:trPr>
          <w:cantSplit/>
        </w:trPr>
        <w:tc>
          <w:tcPr>
            <w:tcW w:w="3258" w:type="dxa"/>
            <w:tcBorders>
              <w:bottom w:val="double" w:sz="6" w:space="0" w:color="auto"/>
            </w:tcBorders>
          </w:tcPr>
          <w:p w:rsidR="007C617C" w:rsidRDefault="007C617C" w:rsidP="00651786">
            <w:pPr>
              <w:pStyle w:val="Header"/>
              <w:rPr>
                <w:b/>
                <w:sz w:val="20"/>
              </w:rPr>
            </w:pPr>
            <w:r>
              <w:rPr>
                <w:b/>
                <w:sz w:val="20"/>
              </w:rPr>
              <w:t xml:space="preserve">Calendar Year </w:t>
            </w:r>
            <w:r w:rsidR="00304474">
              <w:rPr>
                <w:b/>
                <w:sz w:val="20"/>
              </w:rPr>
              <w:t>201</w:t>
            </w:r>
            <w:r w:rsidR="00651786">
              <w:rPr>
                <w:b/>
                <w:sz w:val="20"/>
              </w:rPr>
              <w:t>7</w:t>
            </w:r>
          </w:p>
        </w:tc>
        <w:tc>
          <w:tcPr>
            <w:tcW w:w="3366" w:type="dxa"/>
            <w:tcBorders>
              <w:bottom w:val="double" w:sz="6" w:space="0" w:color="auto"/>
            </w:tcBorders>
          </w:tcPr>
          <w:p w:rsidR="007C617C" w:rsidRDefault="005949A7" w:rsidP="00104DF4">
            <w:pPr>
              <w:pStyle w:val="Header"/>
              <w:jc w:val="center"/>
              <w:rPr>
                <w:b/>
                <w:sz w:val="20"/>
              </w:rPr>
            </w:pPr>
            <w:r>
              <w:rPr>
                <w:b/>
                <w:sz w:val="20"/>
              </w:rPr>
              <w:t xml:space="preserve">November </w:t>
            </w:r>
            <w:r w:rsidR="00DB7CC5">
              <w:rPr>
                <w:b/>
                <w:sz w:val="20"/>
              </w:rPr>
              <w:t>2</w:t>
            </w:r>
            <w:r w:rsidR="00104DF4">
              <w:rPr>
                <w:b/>
                <w:sz w:val="20"/>
              </w:rPr>
              <w:t>8</w:t>
            </w:r>
            <w:r w:rsidR="00957C24">
              <w:rPr>
                <w:b/>
                <w:sz w:val="20"/>
              </w:rPr>
              <w:t>, 201</w:t>
            </w:r>
            <w:r w:rsidR="00651786">
              <w:rPr>
                <w:b/>
                <w:sz w:val="20"/>
              </w:rPr>
              <w:t>7</w:t>
            </w:r>
          </w:p>
        </w:tc>
        <w:tc>
          <w:tcPr>
            <w:tcW w:w="4176" w:type="dxa"/>
            <w:tcBorders>
              <w:bottom w:val="double" w:sz="6" w:space="0" w:color="auto"/>
            </w:tcBorders>
          </w:tcPr>
          <w:p w:rsidR="007C617C" w:rsidRDefault="007C617C" w:rsidP="00E45FEF">
            <w:pPr>
              <w:pStyle w:val="Header"/>
              <w:jc w:val="right"/>
              <w:rPr>
                <w:b/>
                <w:sz w:val="20"/>
              </w:rPr>
            </w:pPr>
            <w:r>
              <w:rPr>
                <w:b/>
                <w:sz w:val="20"/>
              </w:rPr>
              <w:t xml:space="preserve">Volume </w:t>
            </w:r>
            <w:r w:rsidR="00304474">
              <w:rPr>
                <w:b/>
                <w:sz w:val="20"/>
              </w:rPr>
              <w:t>201</w:t>
            </w:r>
            <w:r w:rsidR="00651786">
              <w:rPr>
                <w:b/>
                <w:sz w:val="20"/>
              </w:rPr>
              <w:t>7</w:t>
            </w:r>
            <w:r w:rsidR="00304474">
              <w:rPr>
                <w:b/>
                <w:sz w:val="20"/>
              </w:rPr>
              <w:t>-</w:t>
            </w:r>
            <w:r w:rsidR="00ED046B">
              <w:rPr>
                <w:b/>
                <w:sz w:val="20"/>
              </w:rPr>
              <w:t>1</w:t>
            </w:r>
            <w:r w:rsidR="00E45FEF">
              <w:rPr>
                <w:b/>
                <w:sz w:val="20"/>
              </w:rPr>
              <w:t>5</w:t>
            </w:r>
            <w:r>
              <w:rPr>
                <w:b/>
                <w:sz w:val="20"/>
              </w:rPr>
              <w:t xml:space="preserve"> </w:t>
            </w:r>
          </w:p>
        </w:tc>
      </w:tr>
    </w:tbl>
    <w:p w:rsidR="00ED0B4A" w:rsidRPr="00D467F1" w:rsidRDefault="00ED0B4A" w:rsidP="00ED0B4A">
      <w:pPr>
        <w:rPr>
          <w:sz w:val="16"/>
          <w:szCs w:val="16"/>
        </w:rPr>
      </w:pPr>
    </w:p>
    <w:tbl>
      <w:tblPr>
        <w:tblW w:w="11109" w:type="dxa"/>
        <w:jc w:val="center"/>
        <w:tblLook w:val="01E0" w:firstRow="1" w:lastRow="1" w:firstColumn="1" w:lastColumn="1" w:noHBand="0" w:noVBand="0"/>
      </w:tblPr>
      <w:tblGrid>
        <w:gridCol w:w="2414"/>
        <w:gridCol w:w="4522"/>
        <w:gridCol w:w="4173"/>
      </w:tblGrid>
      <w:tr w:rsidR="002775F4" w:rsidTr="00C70B9F">
        <w:trPr>
          <w:trHeight w:val="2595"/>
          <w:jc w:val="center"/>
        </w:trPr>
        <w:tc>
          <w:tcPr>
            <w:tcW w:w="2414"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CA152E" w:rsidRDefault="00B16382" w:rsidP="00366A23">
            <w:pPr>
              <w:numPr>
                <w:ilvl w:val="0"/>
                <w:numId w:val="1"/>
              </w:numPr>
              <w:tabs>
                <w:tab w:val="left" w:pos="990"/>
              </w:tabs>
              <w:spacing w:before="60"/>
              <w:ind w:left="547"/>
              <w:rPr>
                <w:b/>
                <w:szCs w:val="24"/>
              </w:rPr>
            </w:pPr>
            <w:bookmarkStart w:id="0" w:name="_GoBack"/>
            <w:r>
              <w:rPr>
                <w:b/>
                <w:szCs w:val="24"/>
              </w:rPr>
              <w:t xml:space="preserve">Holiday Schedule for Bi-Weekly Wage Certification </w:t>
            </w:r>
          </w:p>
          <w:bookmarkEnd w:id="0"/>
          <w:p w:rsidR="00970855" w:rsidRPr="00172018" w:rsidRDefault="00970855" w:rsidP="001250BA">
            <w:pPr>
              <w:tabs>
                <w:tab w:val="left" w:pos="990"/>
              </w:tabs>
              <w:spacing w:before="60"/>
              <w:ind w:left="547"/>
              <w:rPr>
                <w:b/>
                <w:szCs w:val="24"/>
              </w:rPr>
            </w:pPr>
          </w:p>
        </w:tc>
        <w:tc>
          <w:tcPr>
            <w:tcW w:w="417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6D6354" w:rsidP="00E6267E">
            <w:pPr>
              <w:tabs>
                <w:tab w:val="left" w:pos="990"/>
              </w:tabs>
              <w:spacing w:before="120"/>
              <w:rPr>
                <w:szCs w:val="24"/>
              </w:rPr>
            </w:pPr>
            <w:r>
              <w:rPr>
                <w:sz w:val="20"/>
              </w:rPr>
              <w:t xml:space="preserve">Acting </w:t>
            </w:r>
            <w:r w:rsidR="002775F4" w:rsidRPr="00E6267E">
              <w:rPr>
                <w:sz w:val="20"/>
              </w:rPr>
              <w:t xml:space="preserve">Director          </w:t>
            </w:r>
            <w:r>
              <w:rPr>
                <w:sz w:val="20"/>
              </w:rPr>
              <w:t xml:space="preserve">    </w:t>
            </w:r>
            <w:r w:rsidR="002775F4" w:rsidRPr="00E6267E">
              <w:rPr>
                <w:sz w:val="20"/>
              </w:rPr>
              <w:t>Cathy C. McGill</w:t>
            </w:r>
          </w:p>
        </w:tc>
      </w:tr>
    </w:tbl>
    <w:p w:rsidR="00E1485E" w:rsidRDefault="00E1485E" w:rsidP="00E1485E">
      <w:pPr>
        <w:pStyle w:val="BlockLine"/>
        <w:spacing w:before="0"/>
        <w:ind w:left="1354"/>
        <w:rPr>
          <w:sz w:val="16"/>
          <w:szCs w:val="16"/>
        </w:rPr>
      </w:pPr>
    </w:p>
    <w:p w:rsidR="00170449" w:rsidRDefault="00B16382" w:rsidP="00170449">
      <w:pPr>
        <w:pStyle w:val="NormalWeb"/>
        <w:rPr>
          <w:b/>
          <w:bCs/>
          <w:color w:val="000000"/>
          <w:sz w:val="28"/>
          <w:szCs w:val="28"/>
        </w:rPr>
      </w:pPr>
      <w:r>
        <w:rPr>
          <w:b/>
          <w:bCs/>
          <w:color w:val="000000"/>
          <w:sz w:val="28"/>
          <w:szCs w:val="28"/>
        </w:rPr>
        <w:t>Holiday Schedule for Bi-Weekly Wage Certification</w:t>
      </w:r>
      <w:r w:rsidR="00AD1C88">
        <w:rPr>
          <w:b/>
          <w:bCs/>
          <w:color w:val="000000"/>
          <w:sz w:val="28"/>
          <w:szCs w:val="28"/>
        </w:rPr>
        <w:t xml:space="preserve"> </w:t>
      </w:r>
    </w:p>
    <w:p w:rsidR="00C70B9F" w:rsidRDefault="00C70B9F" w:rsidP="00C70B9F">
      <w:pPr>
        <w:pStyle w:val="BlockLine"/>
        <w:ind w:left="1350"/>
        <w:rPr>
          <w:sz w:val="16"/>
          <w:szCs w:val="16"/>
        </w:rPr>
      </w:pPr>
    </w:p>
    <w:tbl>
      <w:tblPr>
        <w:tblW w:w="10188" w:type="dxa"/>
        <w:tblLayout w:type="fixed"/>
        <w:tblLook w:val="0000" w:firstRow="0" w:lastRow="0" w:firstColumn="0" w:lastColumn="0" w:noHBand="0" w:noVBand="0"/>
      </w:tblPr>
      <w:tblGrid>
        <w:gridCol w:w="1638"/>
        <w:gridCol w:w="8550"/>
      </w:tblGrid>
      <w:tr w:rsidR="00170449" w:rsidTr="00B16382">
        <w:trPr>
          <w:cantSplit/>
          <w:trHeight w:val="1526"/>
        </w:trPr>
        <w:tc>
          <w:tcPr>
            <w:tcW w:w="1638" w:type="dxa"/>
          </w:tcPr>
          <w:p w:rsidR="00170449" w:rsidRPr="00AD0F5A" w:rsidRDefault="00B16382" w:rsidP="00EE47B8">
            <w:pPr>
              <w:pStyle w:val="Heading5"/>
              <w:rPr>
                <w:szCs w:val="22"/>
              </w:rPr>
            </w:pPr>
            <w:r>
              <w:rPr>
                <w:szCs w:val="22"/>
              </w:rPr>
              <w:t>Bi-Weekly Wage Cert Deadline for January 5, 2018, Check Date</w:t>
            </w:r>
          </w:p>
        </w:tc>
        <w:tc>
          <w:tcPr>
            <w:tcW w:w="8550" w:type="dxa"/>
          </w:tcPr>
          <w:p w:rsidR="00156F49" w:rsidRPr="00891123" w:rsidRDefault="00B16382" w:rsidP="00B67F50">
            <w:pPr>
              <w:autoSpaceDE w:val="0"/>
              <w:autoSpaceDN w:val="0"/>
              <w:adjustRightInd w:val="0"/>
              <w:rPr>
                <w:color w:val="000000"/>
                <w:szCs w:val="24"/>
              </w:rPr>
            </w:pPr>
            <w:r>
              <w:rPr>
                <w:color w:val="000000"/>
                <w:szCs w:val="24"/>
              </w:rPr>
              <w:t xml:space="preserve">The Calendar Year End bulletin </w:t>
            </w:r>
            <w:r w:rsidR="00104DF4">
              <w:rPr>
                <w:color w:val="000000"/>
                <w:szCs w:val="24"/>
              </w:rPr>
              <w:t xml:space="preserve">previously distributed </w:t>
            </w:r>
            <w:r>
              <w:rPr>
                <w:color w:val="000000"/>
                <w:szCs w:val="24"/>
              </w:rPr>
              <w:t>provided deadlines for certifying the first bi-weekly wage payroll for 2018.  This bulletin provides additional information regarding when the system will be available and when jobs will be run to create edits for review prior to ce</w:t>
            </w:r>
            <w:r w:rsidR="00B67F50">
              <w:rPr>
                <w:color w:val="000000"/>
                <w:szCs w:val="24"/>
              </w:rPr>
              <w:t>rtification on January 2, 2018.  Note that certifications for wage payroll, check date 1/5/2018, may be entered on Friday, 12/29.</w:t>
            </w:r>
          </w:p>
        </w:tc>
      </w:tr>
    </w:tbl>
    <w:p w:rsidR="00BD30F0" w:rsidRDefault="00BD30F0" w:rsidP="00BD30F0">
      <w:pPr>
        <w:pStyle w:val="BlockLine"/>
        <w:ind w:left="1350"/>
        <w:rPr>
          <w:sz w:val="16"/>
          <w:szCs w:val="16"/>
        </w:rPr>
      </w:pPr>
    </w:p>
    <w:tbl>
      <w:tblPr>
        <w:tblW w:w="10188" w:type="dxa"/>
        <w:tblLayout w:type="fixed"/>
        <w:tblLook w:val="0000" w:firstRow="0" w:lastRow="0" w:firstColumn="0" w:lastColumn="0" w:noHBand="0" w:noVBand="0"/>
      </w:tblPr>
      <w:tblGrid>
        <w:gridCol w:w="1638"/>
        <w:gridCol w:w="8550"/>
      </w:tblGrid>
      <w:tr w:rsidR="00B16382" w:rsidTr="00186B91">
        <w:trPr>
          <w:cantSplit/>
          <w:trHeight w:val="1526"/>
        </w:trPr>
        <w:tc>
          <w:tcPr>
            <w:tcW w:w="1638" w:type="dxa"/>
          </w:tcPr>
          <w:p w:rsidR="00B16382" w:rsidRPr="00AD0F5A" w:rsidRDefault="00B16382" w:rsidP="00186B91">
            <w:pPr>
              <w:pStyle w:val="Heading5"/>
              <w:rPr>
                <w:szCs w:val="22"/>
              </w:rPr>
            </w:pPr>
          </w:p>
        </w:tc>
        <w:tc>
          <w:tcPr>
            <w:tcW w:w="8550" w:type="dxa"/>
          </w:tcPr>
          <w:p w:rsidR="00B16382" w:rsidRDefault="00B16382" w:rsidP="00186B91">
            <w:pPr>
              <w:autoSpaceDE w:val="0"/>
              <w:autoSpaceDN w:val="0"/>
              <w:adjustRightInd w:val="0"/>
              <w:rPr>
                <w:color w:val="000000"/>
                <w:szCs w:val="24"/>
              </w:rPr>
            </w:pPr>
            <w:r>
              <w:rPr>
                <w:color w:val="000000"/>
                <w:szCs w:val="24"/>
              </w:rPr>
              <w:t>The system schedule for the bi-weekly pay periods ending December 21, 23 and 24 with a check date of January 5 is as follows:</w:t>
            </w:r>
          </w:p>
          <w:p w:rsidR="00B16382" w:rsidRDefault="00B16382" w:rsidP="00186B91">
            <w:pPr>
              <w:autoSpaceDE w:val="0"/>
              <w:autoSpaceDN w:val="0"/>
              <w:adjustRightInd w:val="0"/>
              <w:rPr>
                <w:color w:val="000000"/>
                <w:szCs w:val="24"/>
              </w:rPr>
            </w:pPr>
          </w:p>
          <w:p w:rsidR="002D742F" w:rsidRDefault="00201D45" w:rsidP="00186B91">
            <w:pPr>
              <w:autoSpaceDE w:val="0"/>
              <w:autoSpaceDN w:val="0"/>
              <w:adjustRightInd w:val="0"/>
              <w:rPr>
                <w:color w:val="000000"/>
                <w:szCs w:val="24"/>
              </w:rPr>
            </w:pPr>
            <w:r>
              <w:rPr>
                <w:color w:val="000000"/>
                <w:szCs w:val="24"/>
              </w:rPr>
              <w:t xml:space="preserve">Wednesday, December 27 – </w:t>
            </w:r>
            <w:r w:rsidR="002D742F">
              <w:rPr>
                <w:color w:val="000000"/>
                <w:szCs w:val="24"/>
              </w:rPr>
              <w:t>CIPPS</w:t>
            </w:r>
            <w:r>
              <w:rPr>
                <w:color w:val="000000"/>
                <w:szCs w:val="24"/>
              </w:rPr>
              <w:t xml:space="preserve"> available for </w:t>
            </w:r>
            <w:r w:rsidR="002D742F">
              <w:rPr>
                <w:color w:val="000000"/>
                <w:szCs w:val="24"/>
              </w:rPr>
              <w:t xml:space="preserve">interface </w:t>
            </w:r>
            <w:r>
              <w:rPr>
                <w:color w:val="000000"/>
                <w:szCs w:val="24"/>
              </w:rPr>
              <w:t xml:space="preserve">of batches </w:t>
            </w:r>
            <w:r w:rsidR="002D742F">
              <w:rPr>
                <w:color w:val="000000"/>
                <w:szCs w:val="24"/>
              </w:rPr>
              <w:t xml:space="preserve">(including TAL transmissions) and data entry </w:t>
            </w:r>
            <w:r>
              <w:rPr>
                <w:color w:val="000000"/>
                <w:szCs w:val="24"/>
              </w:rPr>
              <w:t>for pay periods ending 12/21, 12/23 and 12/24.</w:t>
            </w:r>
            <w:r w:rsidR="002D742F">
              <w:rPr>
                <w:color w:val="000000"/>
                <w:szCs w:val="24"/>
              </w:rPr>
              <w:t xml:space="preserve">  Edits only for wage payrolls – </w:t>
            </w:r>
            <w:r w:rsidR="002D742F" w:rsidRPr="000E1330">
              <w:rPr>
                <w:b/>
                <w:color w:val="000000"/>
                <w:szCs w:val="24"/>
              </w:rPr>
              <w:t>no wage certifications may be entered</w:t>
            </w:r>
            <w:r w:rsidR="002D742F">
              <w:rPr>
                <w:color w:val="000000"/>
                <w:szCs w:val="24"/>
              </w:rPr>
              <w:t>.  Last day for specials for salaried employees and check date 12/28 or 12/29 (if previously unused).</w:t>
            </w:r>
          </w:p>
          <w:p w:rsidR="002D742F" w:rsidRPr="001010BF" w:rsidRDefault="002D742F" w:rsidP="00186B91">
            <w:pPr>
              <w:autoSpaceDE w:val="0"/>
              <w:autoSpaceDN w:val="0"/>
              <w:adjustRightInd w:val="0"/>
              <w:rPr>
                <w:color w:val="000000"/>
                <w:sz w:val="16"/>
                <w:szCs w:val="16"/>
              </w:rPr>
            </w:pPr>
          </w:p>
          <w:p w:rsidR="00B16382" w:rsidRDefault="002D742F" w:rsidP="00186B91">
            <w:pPr>
              <w:autoSpaceDE w:val="0"/>
              <w:autoSpaceDN w:val="0"/>
              <w:adjustRightInd w:val="0"/>
              <w:rPr>
                <w:color w:val="000000"/>
                <w:szCs w:val="24"/>
              </w:rPr>
            </w:pPr>
            <w:r>
              <w:rPr>
                <w:color w:val="000000"/>
                <w:szCs w:val="24"/>
              </w:rPr>
              <w:t xml:space="preserve">Thursday, December 28 – CIPPS available for interface of batches (including TAL) and batch data entry until noon.  Edits only – </w:t>
            </w:r>
            <w:r w:rsidRPr="000E1330">
              <w:rPr>
                <w:b/>
                <w:color w:val="000000"/>
                <w:szCs w:val="24"/>
              </w:rPr>
              <w:t>no certifications of any kind</w:t>
            </w:r>
            <w:r>
              <w:rPr>
                <w:color w:val="000000"/>
                <w:szCs w:val="24"/>
              </w:rPr>
              <w:t>.  CIPPS closes at noon for Calendar Year End processing.</w:t>
            </w:r>
          </w:p>
          <w:p w:rsidR="002D742F" w:rsidRPr="001010BF" w:rsidRDefault="002D742F" w:rsidP="00186B91">
            <w:pPr>
              <w:autoSpaceDE w:val="0"/>
              <w:autoSpaceDN w:val="0"/>
              <w:adjustRightInd w:val="0"/>
              <w:rPr>
                <w:color w:val="000000"/>
                <w:sz w:val="16"/>
                <w:szCs w:val="16"/>
              </w:rPr>
            </w:pPr>
          </w:p>
          <w:p w:rsidR="002D742F" w:rsidRPr="009546F4" w:rsidRDefault="002D742F" w:rsidP="00186B91">
            <w:pPr>
              <w:autoSpaceDE w:val="0"/>
              <w:autoSpaceDN w:val="0"/>
              <w:adjustRightInd w:val="0"/>
              <w:rPr>
                <w:b/>
                <w:color w:val="000000"/>
                <w:szCs w:val="24"/>
              </w:rPr>
            </w:pPr>
            <w:r>
              <w:rPr>
                <w:color w:val="000000"/>
                <w:szCs w:val="24"/>
              </w:rPr>
              <w:t xml:space="preserve">Friday, December 29 </w:t>
            </w:r>
            <w:r w:rsidR="003530CA">
              <w:rPr>
                <w:color w:val="000000"/>
                <w:szCs w:val="24"/>
              </w:rPr>
              <w:t>–</w:t>
            </w:r>
            <w:r>
              <w:rPr>
                <w:color w:val="000000"/>
                <w:szCs w:val="24"/>
              </w:rPr>
              <w:t xml:space="preserve"> </w:t>
            </w:r>
            <w:r w:rsidR="003530CA">
              <w:rPr>
                <w:color w:val="000000"/>
                <w:szCs w:val="24"/>
              </w:rPr>
              <w:t>CIPPS CYE is expected to finish mid-afternoon</w:t>
            </w:r>
            <w:r w:rsidR="008E32D6">
              <w:rPr>
                <w:color w:val="000000"/>
                <w:szCs w:val="24"/>
              </w:rPr>
              <w:t xml:space="preserve">.  A mass email will be distributed once the files have been opened.  Batch interface and TAL file transmission will occur according to normal schedule.  </w:t>
            </w:r>
            <w:r w:rsidR="008E32D6" w:rsidRPr="009546F4">
              <w:rPr>
                <w:b/>
                <w:color w:val="000000"/>
                <w:szCs w:val="24"/>
              </w:rPr>
              <w:t xml:space="preserve">Edits </w:t>
            </w:r>
            <w:r w:rsidR="009546F4" w:rsidRPr="009546F4">
              <w:rPr>
                <w:b/>
                <w:color w:val="000000"/>
                <w:szCs w:val="24"/>
              </w:rPr>
              <w:t>and certifications for wage payrolls only</w:t>
            </w:r>
            <w:r w:rsidR="009546F4">
              <w:rPr>
                <w:b/>
                <w:color w:val="000000"/>
                <w:szCs w:val="24"/>
              </w:rPr>
              <w:t xml:space="preserve"> – check date must be 01/05/2018.</w:t>
            </w:r>
          </w:p>
          <w:p w:rsidR="008E32D6" w:rsidRPr="001010BF" w:rsidRDefault="008E32D6" w:rsidP="00186B91">
            <w:pPr>
              <w:autoSpaceDE w:val="0"/>
              <w:autoSpaceDN w:val="0"/>
              <w:adjustRightInd w:val="0"/>
              <w:rPr>
                <w:color w:val="000000"/>
                <w:sz w:val="16"/>
                <w:szCs w:val="16"/>
              </w:rPr>
            </w:pPr>
          </w:p>
          <w:p w:rsidR="008E32D6" w:rsidRDefault="008E32D6" w:rsidP="00186B91">
            <w:pPr>
              <w:autoSpaceDE w:val="0"/>
              <w:autoSpaceDN w:val="0"/>
              <w:adjustRightInd w:val="0"/>
              <w:rPr>
                <w:color w:val="000000"/>
                <w:szCs w:val="24"/>
              </w:rPr>
            </w:pPr>
            <w:r>
              <w:rPr>
                <w:color w:val="000000"/>
                <w:szCs w:val="24"/>
              </w:rPr>
              <w:t>Monday, January 1 – no jobs will be run</w:t>
            </w:r>
          </w:p>
          <w:p w:rsidR="008E32D6" w:rsidRPr="001010BF" w:rsidRDefault="008E32D6" w:rsidP="00186B91">
            <w:pPr>
              <w:autoSpaceDE w:val="0"/>
              <w:autoSpaceDN w:val="0"/>
              <w:adjustRightInd w:val="0"/>
              <w:rPr>
                <w:color w:val="000000"/>
                <w:sz w:val="16"/>
                <w:szCs w:val="16"/>
              </w:rPr>
            </w:pPr>
          </w:p>
          <w:p w:rsidR="00B16382" w:rsidRPr="00891123" w:rsidRDefault="008E32D6" w:rsidP="008E32D6">
            <w:pPr>
              <w:autoSpaceDE w:val="0"/>
              <w:autoSpaceDN w:val="0"/>
              <w:adjustRightInd w:val="0"/>
              <w:rPr>
                <w:color w:val="000000"/>
                <w:szCs w:val="24"/>
              </w:rPr>
            </w:pPr>
            <w:r>
              <w:rPr>
                <w:color w:val="000000"/>
                <w:szCs w:val="24"/>
              </w:rPr>
              <w:t xml:space="preserve">Tuesday, January 2 – normal processing schedule will resume; </w:t>
            </w:r>
            <w:r w:rsidRPr="000E1330">
              <w:rPr>
                <w:b/>
                <w:color w:val="000000"/>
                <w:szCs w:val="24"/>
              </w:rPr>
              <w:t>certification deadline for bi-weekly wage check date of January 5.</w:t>
            </w:r>
            <w:r>
              <w:rPr>
                <w:color w:val="000000"/>
                <w:szCs w:val="24"/>
              </w:rPr>
              <w:t xml:space="preserve">  Agencies who do not have staff on hand to enter the certification may provide the attached form to DOA no later than 3:30 pm on Friday, December 29.  DOA will enter certifications on January 2 for all forms received by the deadline.</w:t>
            </w:r>
            <w:r w:rsidR="00B16382">
              <w:rPr>
                <w:color w:val="000000"/>
                <w:szCs w:val="24"/>
              </w:rPr>
              <w:t xml:space="preserve">  </w:t>
            </w:r>
            <w:r w:rsidR="000E1330">
              <w:rPr>
                <w:color w:val="000000"/>
                <w:szCs w:val="24"/>
              </w:rPr>
              <w:t xml:space="preserve">Forms should be emailed to </w:t>
            </w:r>
            <w:hyperlink r:id="rId10" w:history="1">
              <w:r w:rsidR="000E1330" w:rsidRPr="004B5650">
                <w:rPr>
                  <w:rStyle w:val="Hyperlink"/>
                  <w:szCs w:val="24"/>
                </w:rPr>
                <w:t>payroll@doa.virginia.gov</w:t>
              </w:r>
            </w:hyperlink>
            <w:r w:rsidR="000E1330">
              <w:rPr>
                <w:color w:val="000000"/>
                <w:szCs w:val="24"/>
              </w:rPr>
              <w:t xml:space="preserve"> –</w:t>
            </w:r>
            <w:r w:rsidR="001D50E1">
              <w:rPr>
                <w:color w:val="000000"/>
                <w:szCs w:val="24"/>
              </w:rPr>
              <w:t xml:space="preserve"> DO NOT FAX</w:t>
            </w:r>
            <w:r w:rsidR="000E1330">
              <w:rPr>
                <w:color w:val="000000"/>
                <w:szCs w:val="24"/>
              </w:rPr>
              <w:t>.</w:t>
            </w:r>
          </w:p>
        </w:tc>
      </w:tr>
    </w:tbl>
    <w:p w:rsidR="00B16382" w:rsidRDefault="00B16382" w:rsidP="00B16382">
      <w:pPr>
        <w:pStyle w:val="BlockLine"/>
        <w:ind w:left="1350"/>
        <w:rPr>
          <w:sz w:val="16"/>
          <w:szCs w:val="16"/>
        </w:rPr>
      </w:pPr>
    </w:p>
    <w:tbl>
      <w:tblPr>
        <w:tblW w:w="10386" w:type="dxa"/>
        <w:tblLook w:val="04A0" w:firstRow="1" w:lastRow="0" w:firstColumn="1" w:lastColumn="0" w:noHBand="0" w:noVBand="1"/>
      </w:tblPr>
      <w:tblGrid>
        <w:gridCol w:w="1417"/>
        <w:gridCol w:w="1202"/>
        <w:gridCol w:w="643"/>
        <w:gridCol w:w="1410"/>
        <w:gridCol w:w="1348"/>
        <w:gridCol w:w="1389"/>
        <w:gridCol w:w="2072"/>
        <w:gridCol w:w="683"/>
        <w:gridCol w:w="222"/>
      </w:tblGrid>
      <w:tr w:rsidR="00EB2575" w:rsidRPr="00EB2575" w:rsidTr="00724DD4">
        <w:trPr>
          <w:gridAfter w:val="1"/>
          <w:wAfter w:w="222" w:type="dxa"/>
          <w:trHeight w:val="480"/>
        </w:trPr>
        <w:tc>
          <w:tcPr>
            <w:tcW w:w="10164" w:type="dxa"/>
            <w:gridSpan w:val="8"/>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b/>
                <w:bCs/>
                <w:sz w:val="32"/>
                <w:szCs w:val="32"/>
              </w:rPr>
            </w:pPr>
            <w:r w:rsidRPr="00EB2575">
              <w:rPr>
                <w:rFonts w:ascii="Arial" w:hAnsi="Arial" w:cs="Arial"/>
                <w:b/>
                <w:bCs/>
                <w:sz w:val="32"/>
                <w:szCs w:val="32"/>
              </w:rPr>
              <w:lastRenderedPageBreak/>
              <w:t>AGENCY AUTHORIZATION FOR CERTIFICATION</w:t>
            </w:r>
          </w:p>
        </w:tc>
      </w:tr>
      <w:tr w:rsidR="00EB2575" w:rsidRPr="00EB2575" w:rsidTr="00724DD4">
        <w:trPr>
          <w:gridAfter w:val="1"/>
          <w:wAfter w:w="222" w:type="dxa"/>
          <w:trHeight w:val="330"/>
        </w:trPr>
        <w:tc>
          <w:tcPr>
            <w:tcW w:w="10164" w:type="dxa"/>
            <w:gridSpan w:val="8"/>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b/>
                <w:bCs/>
                <w:sz w:val="32"/>
                <w:szCs w:val="32"/>
              </w:rPr>
            </w:pPr>
            <w:r w:rsidRPr="00EB2575">
              <w:rPr>
                <w:rFonts w:ascii="Arial" w:hAnsi="Arial" w:cs="Arial"/>
                <w:b/>
                <w:bCs/>
                <w:sz w:val="32"/>
                <w:szCs w:val="32"/>
              </w:rPr>
              <w:t xml:space="preserve">OF </w:t>
            </w:r>
            <w:r w:rsidR="00D3569F">
              <w:rPr>
                <w:rFonts w:ascii="Arial" w:hAnsi="Arial" w:cs="Arial"/>
                <w:b/>
                <w:bCs/>
                <w:sz w:val="32"/>
                <w:szCs w:val="32"/>
              </w:rPr>
              <w:t xml:space="preserve">BI-WEEKLY WAGE </w:t>
            </w:r>
            <w:r w:rsidRPr="00EB2575">
              <w:rPr>
                <w:rFonts w:ascii="Arial" w:hAnsi="Arial" w:cs="Arial"/>
                <w:b/>
                <w:bCs/>
                <w:sz w:val="32"/>
                <w:szCs w:val="32"/>
              </w:rPr>
              <w:t>PAYROLL</w:t>
            </w:r>
          </w:p>
        </w:tc>
      </w:tr>
      <w:tr w:rsidR="00EB2575" w:rsidRPr="00EB2575" w:rsidTr="00724DD4">
        <w:trPr>
          <w:gridAfter w:val="1"/>
          <w:wAfter w:w="222" w:type="dxa"/>
          <w:trHeight w:val="135"/>
        </w:trPr>
        <w:tc>
          <w:tcPr>
            <w:tcW w:w="1417"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b/>
                <w:bCs/>
                <w:sz w:val="32"/>
                <w:szCs w:val="32"/>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276"/>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DATE:</w:t>
            </w:r>
          </w:p>
        </w:tc>
        <w:tc>
          <w:tcPr>
            <w:tcW w:w="1202"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 </w:t>
            </w:r>
          </w:p>
        </w:tc>
        <w:tc>
          <w:tcPr>
            <w:tcW w:w="643"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 </w:t>
            </w:r>
          </w:p>
        </w:tc>
        <w:tc>
          <w:tcPr>
            <w:tcW w:w="1410"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 xml:space="preserve">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165"/>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264"/>
        </w:trPr>
        <w:tc>
          <w:tcPr>
            <w:tcW w:w="3262" w:type="dxa"/>
            <w:gridSpan w:val="3"/>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TO: Department of Accounts</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264"/>
        </w:trPr>
        <w:tc>
          <w:tcPr>
            <w:tcW w:w="3262" w:type="dxa"/>
            <w:gridSpan w:val="3"/>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Attention: Payroll Production</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120"/>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390"/>
        </w:trPr>
        <w:tc>
          <w:tcPr>
            <w:tcW w:w="2619" w:type="dxa"/>
            <w:gridSpan w:val="2"/>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2"/>
                <w:szCs w:val="22"/>
              </w:rPr>
            </w:pPr>
            <w:r w:rsidRPr="00EB2575">
              <w:rPr>
                <w:rFonts w:ascii="Arial" w:hAnsi="Arial" w:cs="Arial"/>
                <w:b/>
                <w:bCs/>
                <w:sz w:val="22"/>
                <w:szCs w:val="22"/>
              </w:rPr>
              <w:t>AGENCY NAME:</w:t>
            </w:r>
          </w:p>
        </w:tc>
        <w:tc>
          <w:tcPr>
            <w:tcW w:w="643"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410"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b/>
                <w:bCs/>
                <w:sz w:val="20"/>
              </w:rPr>
            </w:pPr>
            <w:r w:rsidRPr="00EB2575">
              <w:rPr>
                <w:rFonts w:ascii="Arial" w:hAnsi="Arial" w:cs="Arial"/>
                <w:b/>
                <w:bCs/>
                <w:sz w:val="20"/>
              </w:rPr>
              <w:t> </w:t>
            </w:r>
          </w:p>
        </w:tc>
        <w:tc>
          <w:tcPr>
            <w:tcW w:w="1348"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89"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2072"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r>
      <w:tr w:rsidR="00EB2575" w:rsidRPr="00EB2575" w:rsidTr="00724DD4">
        <w:trPr>
          <w:gridAfter w:val="1"/>
          <w:wAfter w:w="222" w:type="dxa"/>
          <w:trHeight w:val="360"/>
        </w:trPr>
        <w:tc>
          <w:tcPr>
            <w:tcW w:w="2619" w:type="dxa"/>
            <w:gridSpan w:val="2"/>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2"/>
                <w:szCs w:val="22"/>
              </w:rPr>
            </w:pPr>
            <w:r w:rsidRPr="00EB2575">
              <w:rPr>
                <w:rFonts w:ascii="Arial" w:hAnsi="Arial" w:cs="Arial"/>
                <w:b/>
                <w:bCs/>
                <w:sz w:val="22"/>
                <w:szCs w:val="22"/>
              </w:rPr>
              <w:t>AGENCY NUMBER:</w:t>
            </w:r>
          </w:p>
        </w:tc>
        <w:tc>
          <w:tcPr>
            <w:tcW w:w="643"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410"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48" w:type="dxa"/>
            <w:tcBorders>
              <w:top w:val="nil"/>
              <w:left w:val="nil"/>
              <w:bottom w:val="single" w:sz="8" w:space="0" w:color="auto"/>
              <w:right w:val="nil"/>
            </w:tcBorders>
            <w:shd w:val="clear" w:color="auto" w:fill="auto"/>
            <w:noWrap/>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 </w:t>
            </w:r>
          </w:p>
        </w:tc>
        <w:tc>
          <w:tcPr>
            <w:tcW w:w="1389"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2072" w:type="dxa"/>
            <w:tcBorders>
              <w:top w:val="nil"/>
              <w:left w:val="nil"/>
              <w:bottom w:val="single" w:sz="8"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r>
      <w:tr w:rsidR="00EB2575" w:rsidRPr="00EB2575" w:rsidTr="00724DD4">
        <w:trPr>
          <w:gridAfter w:val="1"/>
          <w:wAfter w:w="222" w:type="dxa"/>
          <w:trHeight w:val="165"/>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555"/>
        </w:trPr>
        <w:tc>
          <w:tcPr>
            <w:tcW w:w="1417" w:type="dxa"/>
            <w:tcBorders>
              <w:top w:val="single" w:sz="4" w:space="0" w:color="auto"/>
              <w:left w:val="single" w:sz="4" w:space="0" w:color="auto"/>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Pay Frequency</w:t>
            </w:r>
          </w:p>
        </w:tc>
        <w:tc>
          <w:tcPr>
            <w:tcW w:w="1202"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Voucher Number</w:t>
            </w:r>
          </w:p>
        </w:tc>
        <w:tc>
          <w:tcPr>
            <w:tcW w:w="643"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Pay Per</w:t>
            </w:r>
          </w:p>
        </w:tc>
        <w:tc>
          <w:tcPr>
            <w:tcW w:w="1410"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Period Begin Date</w:t>
            </w:r>
          </w:p>
        </w:tc>
        <w:tc>
          <w:tcPr>
            <w:tcW w:w="1348"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Period End Date</w:t>
            </w:r>
          </w:p>
        </w:tc>
        <w:tc>
          <w:tcPr>
            <w:tcW w:w="1389"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 xml:space="preserve">Check     Date </w:t>
            </w:r>
          </w:p>
        </w:tc>
        <w:tc>
          <w:tcPr>
            <w:tcW w:w="2072" w:type="dxa"/>
            <w:tcBorders>
              <w:top w:val="single" w:sz="4" w:space="0" w:color="auto"/>
              <w:left w:val="nil"/>
              <w:bottom w:val="double" w:sz="6" w:space="0" w:color="auto"/>
              <w:right w:val="nil"/>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Current Gross Amount</w:t>
            </w:r>
          </w:p>
        </w:tc>
        <w:tc>
          <w:tcPr>
            <w:tcW w:w="683" w:type="dxa"/>
            <w:tcBorders>
              <w:top w:val="single" w:sz="4" w:space="0" w:color="auto"/>
              <w:left w:val="nil"/>
              <w:bottom w:val="double" w:sz="6" w:space="0" w:color="auto"/>
              <w:right w:val="single" w:sz="4" w:space="0" w:color="auto"/>
            </w:tcBorders>
            <w:shd w:val="clear" w:color="auto" w:fill="auto"/>
            <w:vAlign w:val="bottom"/>
            <w:hideMark/>
          </w:tcPr>
          <w:p w:rsidR="00EB2575" w:rsidRPr="00EB2575" w:rsidRDefault="00EB2575" w:rsidP="00EB2575">
            <w:pPr>
              <w:jc w:val="center"/>
              <w:rPr>
                <w:rFonts w:ascii="Arial" w:hAnsi="Arial" w:cs="Arial"/>
                <w:b/>
                <w:bCs/>
                <w:sz w:val="20"/>
              </w:rPr>
            </w:pPr>
            <w:r w:rsidRPr="00EB2575">
              <w:rPr>
                <w:rFonts w:ascii="Arial" w:hAnsi="Arial" w:cs="Arial"/>
                <w:b/>
                <w:bCs/>
                <w:sz w:val="20"/>
              </w:rPr>
              <w:t>Pay Type</w:t>
            </w:r>
          </w:p>
        </w:tc>
      </w:tr>
      <w:tr w:rsidR="00EB2575" w:rsidRPr="00EB2575" w:rsidTr="00724DD4">
        <w:trPr>
          <w:gridAfter w:val="1"/>
          <w:wAfter w:w="222" w:type="dxa"/>
          <w:trHeight w:val="276"/>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xml:space="preserve">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xml:space="preserve"> </w:t>
            </w: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u w:val="single"/>
              </w:rPr>
            </w:pPr>
            <w:r w:rsidRPr="00EB2575">
              <w:rPr>
                <w:rFonts w:ascii="Arial" w:hAnsi="Arial" w:cs="Arial"/>
                <w:sz w:val="20"/>
                <w:u w:val="single"/>
              </w:rPr>
              <w:t> </w:t>
            </w:r>
          </w:p>
        </w:tc>
      </w:tr>
      <w:tr w:rsidR="00EB2575" w:rsidRPr="00EB2575" w:rsidTr="00724DD4">
        <w:trPr>
          <w:gridAfter w:val="1"/>
          <w:wAfter w:w="222" w:type="dxa"/>
          <w:trHeight w:val="264"/>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xml:space="preserve">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xml:space="preserve"> </w:t>
            </w: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u w:val="single"/>
              </w:rPr>
            </w:pPr>
            <w:r w:rsidRPr="00EB2575">
              <w:rPr>
                <w:rFonts w:ascii="Arial" w:hAnsi="Arial" w:cs="Arial"/>
                <w:sz w:val="20"/>
                <w:u w:val="single"/>
              </w:rPr>
              <w:t> </w:t>
            </w:r>
          </w:p>
        </w:tc>
      </w:tr>
      <w:tr w:rsidR="00EB2575" w:rsidRPr="00EB2575" w:rsidTr="00724DD4">
        <w:trPr>
          <w:gridAfter w:val="1"/>
          <w:wAfter w:w="222" w:type="dxa"/>
          <w:trHeight w:val="264"/>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u w:val="single"/>
              </w:rPr>
            </w:pPr>
            <w:r w:rsidRPr="00EB2575">
              <w:rPr>
                <w:rFonts w:ascii="Arial" w:hAnsi="Arial" w:cs="Arial"/>
                <w:sz w:val="20"/>
                <w:u w:val="single"/>
              </w:rPr>
              <w:t> </w:t>
            </w:r>
          </w:p>
        </w:tc>
      </w:tr>
      <w:tr w:rsidR="00EB2575" w:rsidRPr="00EB2575" w:rsidTr="00724DD4">
        <w:trPr>
          <w:gridAfter w:val="1"/>
          <w:wAfter w:w="222" w:type="dxa"/>
          <w:trHeight w:val="264"/>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jc w:val="cente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jc w:val="cente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r>
      <w:tr w:rsidR="00EB2575" w:rsidRPr="00EB2575" w:rsidTr="00724DD4">
        <w:trPr>
          <w:gridAfter w:val="1"/>
          <w:wAfter w:w="222" w:type="dxa"/>
          <w:trHeight w:val="264"/>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r>
      <w:tr w:rsidR="00EB2575" w:rsidRPr="00EB2575" w:rsidTr="00724DD4">
        <w:trPr>
          <w:gridAfter w:val="1"/>
          <w:wAfter w:w="222" w:type="dxa"/>
          <w:trHeight w:val="264"/>
        </w:trPr>
        <w:tc>
          <w:tcPr>
            <w:tcW w:w="1417"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643"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1348"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sz w:val="20"/>
              </w:rPr>
            </w:pPr>
          </w:p>
        </w:tc>
        <w:tc>
          <w:tcPr>
            <w:tcW w:w="2072" w:type="dxa"/>
            <w:tcBorders>
              <w:top w:val="nil"/>
              <w:left w:val="single" w:sz="4" w:space="0" w:color="auto"/>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nil"/>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r>
      <w:tr w:rsidR="00EB2575" w:rsidRPr="00EB2575" w:rsidTr="00724DD4">
        <w:trPr>
          <w:gridAfter w:val="1"/>
          <w:wAfter w:w="222" w:type="dxa"/>
          <w:trHeight w:val="24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202" w:type="dxa"/>
            <w:tcBorders>
              <w:top w:val="nil"/>
              <w:left w:val="nil"/>
              <w:bottom w:val="single" w:sz="4"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410" w:type="dxa"/>
            <w:tcBorders>
              <w:top w:val="nil"/>
              <w:left w:val="nil"/>
              <w:bottom w:val="single" w:sz="4"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48" w:type="dxa"/>
            <w:tcBorders>
              <w:top w:val="nil"/>
              <w:left w:val="single" w:sz="4" w:space="0" w:color="auto"/>
              <w:bottom w:val="single" w:sz="4" w:space="0" w:color="auto"/>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1389" w:type="dxa"/>
            <w:tcBorders>
              <w:top w:val="nil"/>
              <w:left w:val="nil"/>
              <w:bottom w:val="single" w:sz="4" w:space="0" w:color="auto"/>
              <w:right w:val="nil"/>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2072" w:type="dxa"/>
            <w:tcBorders>
              <w:top w:val="nil"/>
              <w:left w:val="single" w:sz="4" w:space="0" w:color="auto"/>
              <w:bottom w:val="single" w:sz="4" w:space="0" w:color="auto"/>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c>
          <w:tcPr>
            <w:tcW w:w="683" w:type="dxa"/>
            <w:tcBorders>
              <w:top w:val="nil"/>
              <w:left w:val="nil"/>
              <w:bottom w:val="single" w:sz="4" w:space="0" w:color="auto"/>
              <w:right w:val="single" w:sz="4" w:space="0" w:color="auto"/>
            </w:tcBorders>
            <w:shd w:val="clear" w:color="auto" w:fill="auto"/>
            <w:noWrap/>
            <w:vAlign w:val="bottom"/>
            <w:hideMark/>
          </w:tcPr>
          <w:p w:rsidR="00EB2575" w:rsidRPr="00EB2575" w:rsidRDefault="00EB2575" w:rsidP="00EB2575">
            <w:pPr>
              <w:rPr>
                <w:rFonts w:ascii="Arial" w:hAnsi="Arial" w:cs="Arial"/>
                <w:sz w:val="20"/>
              </w:rPr>
            </w:pPr>
            <w:r w:rsidRPr="00EB2575">
              <w:rPr>
                <w:rFonts w:ascii="Arial" w:hAnsi="Arial" w:cs="Arial"/>
                <w:sz w:val="20"/>
              </w:rPr>
              <w:t> </w:t>
            </w:r>
          </w:p>
        </w:tc>
      </w:tr>
      <w:tr w:rsidR="00EB2575" w:rsidRPr="00EB2575" w:rsidTr="00724DD4">
        <w:trPr>
          <w:gridAfter w:val="1"/>
          <w:wAfter w:w="222" w:type="dxa"/>
          <w:trHeight w:val="228"/>
        </w:trPr>
        <w:tc>
          <w:tcPr>
            <w:tcW w:w="9481" w:type="dxa"/>
            <w:gridSpan w:val="7"/>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I CERTIFY THAT I HAVE REVIEWED THE REFERENCED PAYROLL DATA IN ACCORDANCE WITH PROCEDURES OUTLINED</w:t>
            </w: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r>
      <w:tr w:rsidR="00EB2575" w:rsidRPr="00EB2575" w:rsidTr="00724DD4">
        <w:trPr>
          <w:gridAfter w:val="1"/>
          <w:wAfter w:w="222" w:type="dxa"/>
          <w:trHeight w:val="228"/>
        </w:trPr>
        <w:tc>
          <w:tcPr>
            <w:tcW w:w="9481" w:type="dxa"/>
            <w:gridSpan w:val="7"/>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 xml:space="preserve">IN THE CAPP MANUAL VOL. 1, SECTION 50815.   I BELIEVE THAT THESE TRANSACTIONS ARE ACCURATE AND </w:t>
            </w: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r>
      <w:tr w:rsidR="00EB2575" w:rsidRPr="00EB2575" w:rsidTr="00724DD4">
        <w:trPr>
          <w:gridAfter w:val="1"/>
          <w:wAfter w:w="222" w:type="dxa"/>
          <w:trHeight w:val="228"/>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 xml:space="preserve">APPROPRIATE.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228"/>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r>
      <w:tr w:rsidR="00EB2575" w:rsidRPr="00EB2575" w:rsidTr="00724DD4">
        <w:trPr>
          <w:gridAfter w:val="1"/>
          <w:wAfter w:w="222" w:type="dxa"/>
          <w:trHeight w:val="228"/>
        </w:trPr>
        <w:tc>
          <w:tcPr>
            <w:tcW w:w="9481" w:type="dxa"/>
            <w:gridSpan w:val="7"/>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 xml:space="preserve">AS THE AGENCY PAYROLL OFFICER/______________________________, I AUTHORIZE THE DEPARTMENT OF ACCOUNTS </w:t>
            </w: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r>
      <w:tr w:rsidR="00EB2575" w:rsidRPr="00EB2575" w:rsidTr="00724DD4">
        <w:trPr>
          <w:trHeight w:val="228"/>
        </w:trPr>
        <w:tc>
          <w:tcPr>
            <w:tcW w:w="10386" w:type="dxa"/>
            <w:gridSpan w:val="9"/>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 xml:space="preserve">TO KEY OUR CERTIFICATION DATA ON CIPPS AS I HAVE EXHAUSTED ALL OPTIONS AVAILABLE FOR INTERNAL CERTIFICATION. </w:t>
            </w:r>
          </w:p>
        </w:tc>
      </w:tr>
      <w:tr w:rsidR="00EB2575" w:rsidRPr="00EB2575" w:rsidTr="00724DD4">
        <w:trPr>
          <w:trHeight w:val="228"/>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r w:rsidR="00EB2575" w:rsidRPr="00EB2575" w:rsidTr="0037142A">
        <w:trPr>
          <w:trHeight w:val="228"/>
        </w:trPr>
        <w:tc>
          <w:tcPr>
            <w:tcW w:w="10164" w:type="dxa"/>
            <w:gridSpan w:val="8"/>
            <w:tcBorders>
              <w:top w:val="nil"/>
              <w:left w:val="nil"/>
              <w:bottom w:val="nil"/>
              <w:right w:val="nil"/>
            </w:tcBorders>
            <w:shd w:val="clear" w:color="auto" w:fill="auto"/>
            <w:noWrap/>
            <w:vAlign w:val="bottom"/>
          </w:tcPr>
          <w:p w:rsidR="00EB2575" w:rsidRPr="00EB2575" w:rsidRDefault="00EB2575" w:rsidP="00EB2575">
            <w:pPr>
              <w:rPr>
                <w:rFonts w:ascii="Arial" w:hAnsi="Arial" w:cs="Arial"/>
                <w:b/>
                <w:bCs/>
                <w:sz w:val="16"/>
                <w:szCs w:val="16"/>
              </w:rPr>
            </w:pPr>
          </w:p>
        </w:tc>
        <w:tc>
          <w:tcPr>
            <w:tcW w:w="222" w:type="dxa"/>
            <w:vAlign w:val="center"/>
            <w:hideMark/>
          </w:tcPr>
          <w:p w:rsidR="00EB2575" w:rsidRPr="00EB2575" w:rsidRDefault="00EB2575" w:rsidP="00EB2575">
            <w:pPr>
              <w:rPr>
                <w:sz w:val="20"/>
              </w:rPr>
            </w:pPr>
          </w:p>
        </w:tc>
      </w:tr>
      <w:tr w:rsidR="00EB2575" w:rsidRPr="00EB2575" w:rsidTr="0037142A">
        <w:trPr>
          <w:trHeight w:val="228"/>
        </w:trPr>
        <w:tc>
          <w:tcPr>
            <w:tcW w:w="7409" w:type="dxa"/>
            <w:gridSpan w:val="6"/>
            <w:tcBorders>
              <w:top w:val="nil"/>
              <w:left w:val="nil"/>
              <w:bottom w:val="nil"/>
              <w:right w:val="nil"/>
            </w:tcBorders>
            <w:shd w:val="clear" w:color="auto" w:fill="auto"/>
            <w:noWrap/>
            <w:vAlign w:val="bottom"/>
          </w:tcPr>
          <w:p w:rsidR="00EB2575" w:rsidRPr="00EB2575" w:rsidRDefault="00EB2575" w:rsidP="00EB2575">
            <w:pPr>
              <w:rPr>
                <w:rFonts w:ascii="Arial" w:hAnsi="Arial" w:cs="Arial"/>
                <w:b/>
                <w:bCs/>
                <w:sz w:val="16"/>
                <w:szCs w:val="16"/>
              </w:rPr>
            </w:pPr>
          </w:p>
        </w:tc>
        <w:tc>
          <w:tcPr>
            <w:tcW w:w="2072" w:type="dxa"/>
            <w:tcBorders>
              <w:top w:val="nil"/>
              <w:left w:val="nil"/>
              <w:bottom w:val="nil"/>
              <w:right w:val="nil"/>
            </w:tcBorders>
            <w:shd w:val="clear" w:color="auto" w:fill="auto"/>
            <w:noWrap/>
            <w:vAlign w:val="bottom"/>
          </w:tcPr>
          <w:p w:rsidR="00EB2575" w:rsidRPr="00EB2575" w:rsidRDefault="00EB2575" w:rsidP="00EB2575">
            <w:pPr>
              <w:rPr>
                <w:rFonts w:ascii="Arial" w:hAnsi="Arial" w:cs="Arial"/>
                <w:b/>
                <w:bCs/>
                <w:sz w:val="16"/>
                <w:szCs w:val="16"/>
              </w:rPr>
            </w:pPr>
          </w:p>
        </w:tc>
        <w:tc>
          <w:tcPr>
            <w:tcW w:w="683" w:type="dxa"/>
            <w:tcBorders>
              <w:top w:val="nil"/>
              <w:left w:val="nil"/>
              <w:bottom w:val="nil"/>
              <w:right w:val="nil"/>
            </w:tcBorders>
            <w:shd w:val="clear" w:color="auto" w:fill="auto"/>
            <w:noWrap/>
            <w:vAlign w:val="bottom"/>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r w:rsidR="00EB2575" w:rsidRPr="00EB2575" w:rsidTr="00724DD4">
        <w:trPr>
          <w:trHeight w:val="120"/>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r w:rsidRPr="00EB2575">
              <w:rPr>
                <w:rFonts w:ascii="Arial" w:hAnsi="Arial" w:cs="Arial"/>
                <w:b/>
                <w:bCs/>
                <w:sz w:val="16"/>
                <w:szCs w:val="16"/>
              </w:rPr>
              <w:t xml:space="preserve"> </w:t>
            </w: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16"/>
                <w:szCs w:val="16"/>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r w:rsidR="00EB2575" w:rsidRPr="00EB2575" w:rsidTr="00724DD4">
        <w:trPr>
          <w:trHeight w:val="135"/>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r w:rsidR="00EB2575" w:rsidRPr="00EB2575" w:rsidTr="00724DD4">
        <w:trPr>
          <w:trHeight w:val="330"/>
        </w:trPr>
        <w:tc>
          <w:tcPr>
            <w:tcW w:w="6020" w:type="dxa"/>
            <w:gridSpan w:val="5"/>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2"/>
                <w:szCs w:val="22"/>
              </w:rPr>
            </w:pPr>
            <w:r w:rsidRPr="00EB2575">
              <w:rPr>
                <w:rFonts w:ascii="Arial" w:hAnsi="Arial" w:cs="Arial"/>
                <w:b/>
                <w:bCs/>
                <w:sz w:val="22"/>
                <w:szCs w:val="22"/>
              </w:rPr>
              <w:t>REQUESTER'S SIGNATURE: ______________________</w:t>
            </w: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rFonts w:ascii="Arial" w:hAnsi="Arial" w:cs="Arial"/>
                <w:b/>
                <w:bCs/>
                <w:sz w:val="22"/>
                <w:szCs w:val="22"/>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r w:rsidR="00724DD4" w:rsidRPr="00EB2575" w:rsidTr="00724DD4">
        <w:trPr>
          <w:trHeight w:val="264"/>
        </w:trPr>
        <w:tc>
          <w:tcPr>
            <w:tcW w:w="10386" w:type="dxa"/>
            <w:gridSpan w:val="9"/>
            <w:tcBorders>
              <w:top w:val="nil"/>
              <w:left w:val="nil"/>
              <w:bottom w:val="nil"/>
            </w:tcBorders>
            <w:shd w:val="clear" w:color="auto" w:fill="auto"/>
            <w:noWrap/>
            <w:vAlign w:val="bottom"/>
            <w:hideMark/>
          </w:tcPr>
          <w:p w:rsidR="00724DD4" w:rsidRPr="00EB2575" w:rsidRDefault="00724DD4" w:rsidP="00EB2575">
            <w:pPr>
              <w:rPr>
                <w:color w:val="FF0000"/>
                <w:sz w:val="20"/>
              </w:rPr>
            </w:pPr>
            <w:r w:rsidRPr="00724DD4">
              <w:rPr>
                <w:rFonts w:ascii="Arial" w:hAnsi="Arial" w:cs="Arial"/>
                <w:b/>
                <w:bCs/>
                <w:color w:val="FF0000"/>
                <w:sz w:val="16"/>
                <w:szCs w:val="16"/>
              </w:rPr>
              <w:t xml:space="preserve">EMAIL </w:t>
            </w:r>
            <w:r w:rsidRPr="00EB2575">
              <w:rPr>
                <w:rFonts w:ascii="Arial" w:hAnsi="Arial" w:cs="Arial"/>
                <w:b/>
                <w:bCs/>
                <w:color w:val="FF0000"/>
                <w:sz w:val="16"/>
                <w:szCs w:val="16"/>
              </w:rPr>
              <w:t xml:space="preserve">REQUEST FORM TO </w:t>
            </w:r>
            <w:hyperlink r:id="rId11" w:history="1">
              <w:r w:rsidRPr="00724DD4">
                <w:rPr>
                  <w:rStyle w:val="Hyperlink"/>
                  <w:rFonts w:ascii="Arial" w:hAnsi="Arial" w:cs="Arial"/>
                  <w:b/>
                  <w:bCs/>
                  <w:color w:val="FF0000"/>
                  <w:sz w:val="16"/>
                  <w:szCs w:val="16"/>
                </w:rPr>
                <w:t>PAYROLL@DOA.VIRGINIA.GOV</w:t>
              </w:r>
            </w:hyperlink>
            <w:r w:rsidRPr="00724DD4">
              <w:rPr>
                <w:rFonts w:ascii="Arial" w:hAnsi="Arial" w:cs="Arial"/>
                <w:b/>
                <w:bCs/>
                <w:color w:val="FF0000"/>
                <w:sz w:val="16"/>
                <w:szCs w:val="16"/>
              </w:rPr>
              <w:t xml:space="preserve"> NO LATER THAN </w:t>
            </w:r>
            <w:r w:rsidRPr="00EB2575">
              <w:rPr>
                <w:rFonts w:ascii="Arial" w:hAnsi="Arial" w:cs="Arial"/>
                <w:b/>
                <w:bCs/>
                <w:color w:val="FF0000"/>
                <w:sz w:val="16"/>
                <w:szCs w:val="16"/>
              </w:rPr>
              <w:t>3:30 PM</w:t>
            </w:r>
            <w:r w:rsidRPr="00724DD4">
              <w:rPr>
                <w:rFonts w:ascii="Arial" w:hAnsi="Arial" w:cs="Arial"/>
                <w:b/>
                <w:bCs/>
                <w:color w:val="FF0000"/>
                <w:sz w:val="16"/>
                <w:szCs w:val="16"/>
              </w:rPr>
              <w:t xml:space="preserve"> ON DECEMBER 29, 2017.</w:t>
            </w:r>
          </w:p>
        </w:tc>
      </w:tr>
      <w:tr w:rsidR="00EB2575" w:rsidRPr="00EB2575" w:rsidTr="00724DD4">
        <w:trPr>
          <w:trHeight w:val="264"/>
        </w:trPr>
        <w:tc>
          <w:tcPr>
            <w:tcW w:w="1417"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20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4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410"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48"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1389"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072"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683" w:type="dxa"/>
            <w:tcBorders>
              <w:top w:val="nil"/>
              <w:left w:val="nil"/>
              <w:bottom w:val="nil"/>
              <w:right w:val="nil"/>
            </w:tcBorders>
            <w:shd w:val="clear" w:color="auto" w:fill="auto"/>
            <w:noWrap/>
            <w:vAlign w:val="bottom"/>
            <w:hideMark/>
          </w:tcPr>
          <w:p w:rsidR="00EB2575" w:rsidRPr="00EB2575" w:rsidRDefault="00EB2575" w:rsidP="00EB2575">
            <w:pPr>
              <w:rPr>
                <w:sz w:val="20"/>
              </w:rPr>
            </w:pPr>
          </w:p>
        </w:tc>
        <w:tc>
          <w:tcPr>
            <w:tcW w:w="222" w:type="dxa"/>
            <w:vAlign w:val="center"/>
            <w:hideMark/>
          </w:tcPr>
          <w:p w:rsidR="00EB2575" w:rsidRPr="00EB2575" w:rsidRDefault="00EB2575" w:rsidP="00EB2575">
            <w:pPr>
              <w:rPr>
                <w:sz w:val="20"/>
              </w:rPr>
            </w:pPr>
          </w:p>
        </w:tc>
      </w:tr>
    </w:tbl>
    <w:p w:rsidR="00B16382" w:rsidRPr="00B16382" w:rsidRDefault="00B16382" w:rsidP="00B16382"/>
    <w:sectPr w:rsidR="00B16382" w:rsidRPr="00B16382" w:rsidSect="00EB46C9">
      <w:headerReference w:type="default" r:id="rId12"/>
      <w:footerReference w:type="default" r:id="rId13"/>
      <w:pgSz w:w="12240" w:h="15840" w:code="1"/>
      <w:pgMar w:top="994" w:right="720" w:bottom="540" w:left="720" w:header="432" w:footer="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D3" w:rsidRDefault="00D401D3" w:rsidP="007C617C">
      <w:pPr>
        <w:pStyle w:val="TableText"/>
      </w:pPr>
      <w:r>
        <w:separator/>
      </w:r>
    </w:p>
  </w:endnote>
  <w:endnote w:type="continuationSeparator" w:id="0">
    <w:p w:rsidR="00D401D3" w:rsidRDefault="00D401D3"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Footer"/>
      <w:pBdr>
        <w:top w:val="single" w:sz="6" w:space="0" w:color="auto"/>
      </w:pBdr>
      <w:tabs>
        <w:tab w:val="clear" w:pos="4320"/>
        <w:tab w:val="clear" w:pos="8640"/>
        <w:tab w:val="left" w:pos="5940"/>
      </w:tabs>
      <w:ind w:right="-414"/>
      <w:jc w:val="center"/>
      <w:rPr>
        <w:rStyle w:val="PageNumber"/>
      </w:rPr>
    </w:pPr>
    <w:r>
      <w:rPr>
        <w:i/>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3F3FE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F3FEE">
      <w:rPr>
        <w:rStyle w:val="PageNumber"/>
        <w:noProof/>
      </w:rPr>
      <w:t>2</w:t>
    </w:r>
    <w:r>
      <w:rPr>
        <w:rStyle w:val="PageNumber"/>
      </w:rPr>
      <w:fldChar w:fldCharType="end"/>
    </w:r>
  </w:p>
  <w:p w:rsidR="009D3C2C" w:rsidRDefault="009D3C2C" w:rsidP="00FB560F">
    <w:pPr>
      <w:pStyle w:val="Footer"/>
      <w:pBdr>
        <w:top w:val="single" w:sz="6" w:space="0" w:color="auto"/>
      </w:pBdr>
      <w:tabs>
        <w:tab w:val="clear" w:pos="4320"/>
        <w:tab w:val="clear" w:pos="8640"/>
        <w:tab w:val="left" w:pos="5940"/>
      </w:tabs>
      <w:ind w:right="-414"/>
      <w:jc w:val="center"/>
      <w:rPr>
        <w:i/>
        <w:snapToGrid w:val="0"/>
        <w:sz w:val="22"/>
      </w:rPr>
    </w:pPr>
  </w:p>
  <w:p w:rsidR="00FB560F" w:rsidRPr="009F7AFD" w:rsidRDefault="003F3FEE" w:rsidP="009D3C2C">
    <w:pPr>
      <w:pStyle w:val="NormalWeb"/>
      <w:jc w:val="center"/>
      <w:rPr>
        <w:snapToGrid w:val="0"/>
      </w:rPr>
    </w:pPr>
    <w:hyperlink r:id="rId1" w:tooltip="http://www.doa.virginia.gov/Payroll/Payroll_Bulletins/Payroll_Bulletins_Main.cfm" w:history="1">
      <w:r w:rsidR="00FB560F">
        <w:rPr>
          <w:rStyle w:val="Hyperlink"/>
          <w:i/>
          <w:iCs/>
          <w:snapToGrid w:val="0"/>
          <w:sz w:val="22"/>
          <w:szCs w:val="20"/>
        </w:rPr>
        <w:t>http://www.doa.virginia.gov/Payroll/Payroll_Bulletins/Payroll_Bulletins_Main.cfm</w:t>
      </w:r>
    </w:hyperlink>
  </w:p>
  <w:p w:rsidR="006C52CC" w:rsidRPr="00FB560F" w:rsidRDefault="006C52CC" w:rsidP="00FB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D3" w:rsidRDefault="00D401D3" w:rsidP="007C617C">
      <w:pPr>
        <w:pStyle w:val="TableText"/>
      </w:pPr>
      <w:r>
        <w:separator/>
      </w:r>
    </w:p>
  </w:footnote>
  <w:footnote w:type="continuationSeparator" w:id="0">
    <w:p w:rsidR="00D401D3" w:rsidRDefault="00D401D3" w:rsidP="007C617C">
      <w:pPr>
        <w:pStyle w:val="Tabl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0F" w:rsidRDefault="00FB560F" w:rsidP="00FB560F">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FB560F" w:rsidTr="00162D27">
      <w:trPr>
        <w:cantSplit/>
      </w:trPr>
      <w:tc>
        <w:tcPr>
          <w:tcW w:w="3366" w:type="dxa"/>
          <w:tcBorders>
            <w:bottom w:val="double" w:sz="6" w:space="0" w:color="auto"/>
          </w:tcBorders>
        </w:tcPr>
        <w:p w:rsidR="00FB560F" w:rsidRDefault="00FB560F" w:rsidP="00FB560F">
          <w:pPr>
            <w:pStyle w:val="Header"/>
            <w:rPr>
              <w:b/>
              <w:sz w:val="20"/>
            </w:rPr>
          </w:pPr>
          <w:r>
            <w:rPr>
              <w:b/>
              <w:sz w:val="20"/>
            </w:rPr>
            <w:t>Calendar Year 2017</w:t>
          </w:r>
        </w:p>
      </w:tc>
      <w:tc>
        <w:tcPr>
          <w:tcW w:w="3366" w:type="dxa"/>
          <w:tcBorders>
            <w:bottom w:val="double" w:sz="6" w:space="0" w:color="auto"/>
          </w:tcBorders>
        </w:tcPr>
        <w:p w:rsidR="00FB560F" w:rsidRDefault="00FB560F" w:rsidP="00104DF4">
          <w:pPr>
            <w:pStyle w:val="Header"/>
            <w:jc w:val="center"/>
            <w:rPr>
              <w:b/>
              <w:sz w:val="20"/>
            </w:rPr>
          </w:pPr>
          <w:r>
            <w:rPr>
              <w:b/>
              <w:sz w:val="20"/>
            </w:rPr>
            <w:t xml:space="preserve">November </w:t>
          </w:r>
          <w:r w:rsidR="0037142A">
            <w:rPr>
              <w:b/>
              <w:sz w:val="20"/>
            </w:rPr>
            <w:t>2</w:t>
          </w:r>
          <w:r w:rsidR="00104DF4">
            <w:rPr>
              <w:b/>
              <w:sz w:val="20"/>
            </w:rPr>
            <w:t>8</w:t>
          </w:r>
          <w:r>
            <w:rPr>
              <w:b/>
              <w:sz w:val="20"/>
            </w:rPr>
            <w:t>, 2017</w:t>
          </w:r>
        </w:p>
      </w:tc>
      <w:tc>
        <w:tcPr>
          <w:tcW w:w="3366" w:type="dxa"/>
          <w:tcBorders>
            <w:bottom w:val="double" w:sz="6" w:space="0" w:color="auto"/>
          </w:tcBorders>
        </w:tcPr>
        <w:p w:rsidR="00FB560F" w:rsidRDefault="00FB560F" w:rsidP="00A37032">
          <w:pPr>
            <w:pStyle w:val="Header"/>
            <w:jc w:val="right"/>
            <w:rPr>
              <w:b/>
              <w:sz w:val="20"/>
            </w:rPr>
          </w:pPr>
          <w:r>
            <w:rPr>
              <w:b/>
              <w:sz w:val="20"/>
            </w:rPr>
            <w:t>Volume 2017-1</w:t>
          </w:r>
          <w:r w:rsidR="00E45FEF">
            <w:rPr>
              <w:b/>
              <w:sz w:val="20"/>
            </w:rPr>
            <w:t>5</w:t>
          </w:r>
        </w:p>
      </w:tc>
    </w:tr>
  </w:tbl>
  <w:p w:rsidR="00FB560F" w:rsidRDefault="00FB560F" w:rsidP="00FB5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77224DA"/>
    <w:multiLevelType w:val="hybridMultilevel"/>
    <w:tmpl w:val="0D76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54"/>
    <w:rsid w:val="000009B2"/>
    <w:rsid w:val="000013D1"/>
    <w:rsid w:val="00004CD3"/>
    <w:rsid w:val="00004DB9"/>
    <w:rsid w:val="000061FB"/>
    <w:rsid w:val="0001012E"/>
    <w:rsid w:val="000119A4"/>
    <w:rsid w:val="000121C0"/>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6661"/>
    <w:rsid w:val="0005668B"/>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425E"/>
    <w:rsid w:val="000A5008"/>
    <w:rsid w:val="000A7A20"/>
    <w:rsid w:val="000B0BE5"/>
    <w:rsid w:val="000B3A75"/>
    <w:rsid w:val="000B46F3"/>
    <w:rsid w:val="000B705E"/>
    <w:rsid w:val="000C1CD3"/>
    <w:rsid w:val="000C2299"/>
    <w:rsid w:val="000C44E0"/>
    <w:rsid w:val="000C62B0"/>
    <w:rsid w:val="000C67E6"/>
    <w:rsid w:val="000C7D97"/>
    <w:rsid w:val="000D1733"/>
    <w:rsid w:val="000D2A08"/>
    <w:rsid w:val="000D2CE5"/>
    <w:rsid w:val="000D3410"/>
    <w:rsid w:val="000D3694"/>
    <w:rsid w:val="000D4600"/>
    <w:rsid w:val="000D666D"/>
    <w:rsid w:val="000E1330"/>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010BF"/>
    <w:rsid w:val="00104DF4"/>
    <w:rsid w:val="00115C5B"/>
    <w:rsid w:val="00117B7F"/>
    <w:rsid w:val="00121380"/>
    <w:rsid w:val="0012199B"/>
    <w:rsid w:val="001219C0"/>
    <w:rsid w:val="00123E43"/>
    <w:rsid w:val="001250AB"/>
    <w:rsid w:val="001250BA"/>
    <w:rsid w:val="00131DF6"/>
    <w:rsid w:val="001351EE"/>
    <w:rsid w:val="00135F2B"/>
    <w:rsid w:val="00136A70"/>
    <w:rsid w:val="0013736C"/>
    <w:rsid w:val="00141255"/>
    <w:rsid w:val="001418A6"/>
    <w:rsid w:val="00141BFF"/>
    <w:rsid w:val="001470B2"/>
    <w:rsid w:val="00150108"/>
    <w:rsid w:val="001514CE"/>
    <w:rsid w:val="00151D7E"/>
    <w:rsid w:val="001522AD"/>
    <w:rsid w:val="001524A6"/>
    <w:rsid w:val="001532E5"/>
    <w:rsid w:val="00156C2F"/>
    <w:rsid w:val="00156F49"/>
    <w:rsid w:val="00162130"/>
    <w:rsid w:val="0016577E"/>
    <w:rsid w:val="001661AD"/>
    <w:rsid w:val="00166AE2"/>
    <w:rsid w:val="00170319"/>
    <w:rsid w:val="0017044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0CC"/>
    <w:rsid w:val="001D13F4"/>
    <w:rsid w:val="001D3036"/>
    <w:rsid w:val="001D4288"/>
    <w:rsid w:val="001D50E1"/>
    <w:rsid w:val="001D51E9"/>
    <w:rsid w:val="001D5D8F"/>
    <w:rsid w:val="001D7553"/>
    <w:rsid w:val="001E1CD9"/>
    <w:rsid w:val="001E2A7B"/>
    <w:rsid w:val="001E2CFE"/>
    <w:rsid w:val="001E5787"/>
    <w:rsid w:val="001E6E76"/>
    <w:rsid w:val="001F0A04"/>
    <w:rsid w:val="001F0A73"/>
    <w:rsid w:val="001F0EC9"/>
    <w:rsid w:val="001F166C"/>
    <w:rsid w:val="001F231B"/>
    <w:rsid w:val="001F58EC"/>
    <w:rsid w:val="00200C55"/>
    <w:rsid w:val="00201D45"/>
    <w:rsid w:val="00203860"/>
    <w:rsid w:val="0020718C"/>
    <w:rsid w:val="0021069C"/>
    <w:rsid w:val="00214A28"/>
    <w:rsid w:val="00216B11"/>
    <w:rsid w:val="00216D6B"/>
    <w:rsid w:val="0022044F"/>
    <w:rsid w:val="00221021"/>
    <w:rsid w:val="002215EE"/>
    <w:rsid w:val="002225D4"/>
    <w:rsid w:val="0022353A"/>
    <w:rsid w:val="00224527"/>
    <w:rsid w:val="002276C7"/>
    <w:rsid w:val="00230A49"/>
    <w:rsid w:val="00233935"/>
    <w:rsid w:val="0024126B"/>
    <w:rsid w:val="002412F8"/>
    <w:rsid w:val="0024180D"/>
    <w:rsid w:val="00241CC5"/>
    <w:rsid w:val="00244D87"/>
    <w:rsid w:val="00245357"/>
    <w:rsid w:val="00246ADD"/>
    <w:rsid w:val="002512D1"/>
    <w:rsid w:val="00251C45"/>
    <w:rsid w:val="00252C61"/>
    <w:rsid w:val="00253BB5"/>
    <w:rsid w:val="00255FBC"/>
    <w:rsid w:val="002616D8"/>
    <w:rsid w:val="002630B0"/>
    <w:rsid w:val="00265865"/>
    <w:rsid w:val="002677C1"/>
    <w:rsid w:val="00267C84"/>
    <w:rsid w:val="00270D38"/>
    <w:rsid w:val="0027216E"/>
    <w:rsid w:val="00272EDA"/>
    <w:rsid w:val="00273430"/>
    <w:rsid w:val="002745C9"/>
    <w:rsid w:val="00276909"/>
    <w:rsid w:val="002775F4"/>
    <w:rsid w:val="00280263"/>
    <w:rsid w:val="00280B76"/>
    <w:rsid w:val="00282F2D"/>
    <w:rsid w:val="00287D81"/>
    <w:rsid w:val="00290BF1"/>
    <w:rsid w:val="00293BAE"/>
    <w:rsid w:val="00297780"/>
    <w:rsid w:val="002A0CC0"/>
    <w:rsid w:val="002A0F8D"/>
    <w:rsid w:val="002A1664"/>
    <w:rsid w:val="002A6633"/>
    <w:rsid w:val="002A67D2"/>
    <w:rsid w:val="002A6806"/>
    <w:rsid w:val="002A7134"/>
    <w:rsid w:val="002B24A6"/>
    <w:rsid w:val="002B2504"/>
    <w:rsid w:val="002C0D88"/>
    <w:rsid w:val="002C1B54"/>
    <w:rsid w:val="002C2601"/>
    <w:rsid w:val="002C3A91"/>
    <w:rsid w:val="002D1662"/>
    <w:rsid w:val="002D2DAB"/>
    <w:rsid w:val="002D46F7"/>
    <w:rsid w:val="002D5501"/>
    <w:rsid w:val="002D6045"/>
    <w:rsid w:val="002D742F"/>
    <w:rsid w:val="002E1208"/>
    <w:rsid w:val="002F01F8"/>
    <w:rsid w:val="002F02B0"/>
    <w:rsid w:val="002F0E27"/>
    <w:rsid w:val="002F2757"/>
    <w:rsid w:val="002F6F61"/>
    <w:rsid w:val="00300217"/>
    <w:rsid w:val="00302013"/>
    <w:rsid w:val="00303AB2"/>
    <w:rsid w:val="00304474"/>
    <w:rsid w:val="0030540F"/>
    <w:rsid w:val="00305AE0"/>
    <w:rsid w:val="00305EC4"/>
    <w:rsid w:val="00311FC4"/>
    <w:rsid w:val="003164E9"/>
    <w:rsid w:val="003167D0"/>
    <w:rsid w:val="00316A4D"/>
    <w:rsid w:val="003202A7"/>
    <w:rsid w:val="003208FE"/>
    <w:rsid w:val="0032216D"/>
    <w:rsid w:val="00323E81"/>
    <w:rsid w:val="003306BE"/>
    <w:rsid w:val="0033082C"/>
    <w:rsid w:val="003340ED"/>
    <w:rsid w:val="00334F86"/>
    <w:rsid w:val="003362EF"/>
    <w:rsid w:val="00336C30"/>
    <w:rsid w:val="00341F6F"/>
    <w:rsid w:val="00342463"/>
    <w:rsid w:val="0034691C"/>
    <w:rsid w:val="003530CA"/>
    <w:rsid w:val="0035312D"/>
    <w:rsid w:val="00353733"/>
    <w:rsid w:val="00353940"/>
    <w:rsid w:val="00354876"/>
    <w:rsid w:val="00357860"/>
    <w:rsid w:val="0036539D"/>
    <w:rsid w:val="00365D95"/>
    <w:rsid w:val="00366919"/>
    <w:rsid w:val="00366A23"/>
    <w:rsid w:val="00367AD1"/>
    <w:rsid w:val="00370336"/>
    <w:rsid w:val="0037142A"/>
    <w:rsid w:val="00372196"/>
    <w:rsid w:val="003725FD"/>
    <w:rsid w:val="00375835"/>
    <w:rsid w:val="00380089"/>
    <w:rsid w:val="00383B20"/>
    <w:rsid w:val="003878BE"/>
    <w:rsid w:val="00390379"/>
    <w:rsid w:val="00393AD1"/>
    <w:rsid w:val="00394137"/>
    <w:rsid w:val="003960F4"/>
    <w:rsid w:val="003975ED"/>
    <w:rsid w:val="003A1CF2"/>
    <w:rsid w:val="003A21D1"/>
    <w:rsid w:val="003A299C"/>
    <w:rsid w:val="003A53F0"/>
    <w:rsid w:val="003B0A0C"/>
    <w:rsid w:val="003B0D56"/>
    <w:rsid w:val="003B1967"/>
    <w:rsid w:val="003B75D4"/>
    <w:rsid w:val="003C08CA"/>
    <w:rsid w:val="003C1A71"/>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3F3FEE"/>
    <w:rsid w:val="00407DEF"/>
    <w:rsid w:val="0041050B"/>
    <w:rsid w:val="004107DA"/>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56"/>
    <w:rsid w:val="00451F9A"/>
    <w:rsid w:val="00452D65"/>
    <w:rsid w:val="00454635"/>
    <w:rsid w:val="00455D62"/>
    <w:rsid w:val="00455DC9"/>
    <w:rsid w:val="00456CD8"/>
    <w:rsid w:val="00456F7A"/>
    <w:rsid w:val="00457169"/>
    <w:rsid w:val="00463F34"/>
    <w:rsid w:val="0046402E"/>
    <w:rsid w:val="00466FB2"/>
    <w:rsid w:val="0047065E"/>
    <w:rsid w:val="00470A8B"/>
    <w:rsid w:val="00472253"/>
    <w:rsid w:val="00480977"/>
    <w:rsid w:val="0048151B"/>
    <w:rsid w:val="00481C94"/>
    <w:rsid w:val="00483721"/>
    <w:rsid w:val="004917B8"/>
    <w:rsid w:val="00492FFC"/>
    <w:rsid w:val="00493E53"/>
    <w:rsid w:val="004A1066"/>
    <w:rsid w:val="004A669F"/>
    <w:rsid w:val="004B3078"/>
    <w:rsid w:val="004B44C6"/>
    <w:rsid w:val="004B4F4D"/>
    <w:rsid w:val="004B582A"/>
    <w:rsid w:val="004C0BE5"/>
    <w:rsid w:val="004C5133"/>
    <w:rsid w:val="004C52E0"/>
    <w:rsid w:val="004C7604"/>
    <w:rsid w:val="004D0CDD"/>
    <w:rsid w:val="004D29A5"/>
    <w:rsid w:val="004D35C8"/>
    <w:rsid w:val="004D612E"/>
    <w:rsid w:val="004D6951"/>
    <w:rsid w:val="004E2C96"/>
    <w:rsid w:val="004E4FEE"/>
    <w:rsid w:val="004E5D33"/>
    <w:rsid w:val="004E5DF0"/>
    <w:rsid w:val="004E5E88"/>
    <w:rsid w:val="004E5FDF"/>
    <w:rsid w:val="004F0178"/>
    <w:rsid w:val="004F36B7"/>
    <w:rsid w:val="004F42C7"/>
    <w:rsid w:val="004F5F78"/>
    <w:rsid w:val="004F6C26"/>
    <w:rsid w:val="00500BF8"/>
    <w:rsid w:val="0050546B"/>
    <w:rsid w:val="00505570"/>
    <w:rsid w:val="00506503"/>
    <w:rsid w:val="00512FE1"/>
    <w:rsid w:val="005142FF"/>
    <w:rsid w:val="00517AEE"/>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B6D"/>
    <w:rsid w:val="00583C5C"/>
    <w:rsid w:val="005926A0"/>
    <w:rsid w:val="00592926"/>
    <w:rsid w:val="005949A7"/>
    <w:rsid w:val="0059592A"/>
    <w:rsid w:val="0059785E"/>
    <w:rsid w:val="005A53B4"/>
    <w:rsid w:val="005A5737"/>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78B4"/>
    <w:rsid w:val="005E7933"/>
    <w:rsid w:val="005F3AC9"/>
    <w:rsid w:val="005F7750"/>
    <w:rsid w:val="00602FB5"/>
    <w:rsid w:val="006039B5"/>
    <w:rsid w:val="00603F09"/>
    <w:rsid w:val="00605F55"/>
    <w:rsid w:val="006060E3"/>
    <w:rsid w:val="00606AA5"/>
    <w:rsid w:val="006070FB"/>
    <w:rsid w:val="00607472"/>
    <w:rsid w:val="00607A94"/>
    <w:rsid w:val="00622B95"/>
    <w:rsid w:val="0062309A"/>
    <w:rsid w:val="00623308"/>
    <w:rsid w:val="00625931"/>
    <w:rsid w:val="00627406"/>
    <w:rsid w:val="00633F5D"/>
    <w:rsid w:val="00636EB9"/>
    <w:rsid w:val="00640742"/>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65828"/>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46B"/>
    <w:rsid w:val="00715AF0"/>
    <w:rsid w:val="00717561"/>
    <w:rsid w:val="00717BAD"/>
    <w:rsid w:val="00717C4F"/>
    <w:rsid w:val="0072052B"/>
    <w:rsid w:val="00724707"/>
    <w:rsid w:val="00724DD4"/>
    <w:rsid w:val="00727ECC"/>
    <w:rsid w:val="00727FE5"/>
    <w:rsid w:val="00730C32"/>
    <w:rsid w:val="007318F5"/>
    <w:rsid w:val="00731B7C"/>
    <w:rsid w:val="00734EA1"/>
    <w:rsid w:val="00735FB7"/>
    <w:rsid w:val="007362A9"/>
    <w:rsid w:val="00741CCB"/>
    <w:rsid w:val="00742F44"/>
    <w:rsid w:val="0074507F"/>
    <w:rsid w:val="00745CCB"/>
    <w:rsid w:val="00751578"/>
    <w:rsid w:val="00751DFE"/>
    <w:rsid w:val="00752C5D"/>
    <w:rsid w:val="0075322A"/>
    <w:rsid w:val="007554A7"/>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60DF"/>
    <w:rsid w:val="00816153"/>
    <w:rsid w:val="00816FA7"/>
    <w:rsid w:val="008171AE"/>
    <w:rsid w:val="00817D0C"/>
    <w:rsid w:val="0082456A"/>
    <w:rsid w:val="008261C2"/>
    <w:rsid w:val="00826CA5"/>
    <w:rsid w:val="0083216F"/>
    <w:rsid w:val="008346B9"/>
    <w:rsid w:val="00836328"/>
    <w:rsid w:val="00837097"/>
    <w:rsid w:val="0083745B"/>
    <w:rsid w:val="0084019A"/>
    <w:rsid w:val="00841120"/>
    <w:rsid w:val="00842809"/>
    <w:rsid w:val="00845336"/>
    <w:rsid w:val="00850A28"/>
    <w:rsid w:val="008510FE"/>
    <w:rsid w:val="0085144A"/>
    <w:rsid w:val="00851D23"/>
    <w:rsid w:val="0085258E"/>
    <w:rsid w:val="00854EBD"/>
    <w:rsid w:val="008574E4"/>
    <w:rsid w:val="0086329F"/>
    <w:rsid w:val="00864037"/>
    <w:rsid w:val="00864155"/>
    <w:rsid w:val="00864631"/>
    <w:rsid w:val="0086488F"/>
    <w:rsid w:val="008777E1"/>
    <w:rsid w:val="00887519"/>
    <w:rsid w:val="00890F2E"/>
    <w:rsid w:val="00891123"/>
    <w:rsid w:val="008921FC"/>
    <w:rsid w:val="008927EB"/>
    <w:rsid w:val="00895682"/>
    <w:rsid w:val="00895CC1"/>
    <w:rsid w:val="008A10CF"/>
    <w:rsid w:val="008A189F"/>
    <w:rsid w:val="008A2211"/>
    <w:rsid w:val="008A3F52"/>
    <w:rsid w:val="008A4211"/>
    <w:rsid w:val="008A4B56"/>
    <w:rsid w:val="008A6934"/>
    <w:rsid w:val="008B14BA"/>
    <w:rsid w:val="008B569E"/>
    <w:rsid w:val="008C1349"/>
    <w:rsid w:val="008C245B"/>
    <w:rsid w:val="008C32F7"/>
    <w:rsid w:val="008C3502"/>
    <w:rsid w:val="008C5F72"/>
    <w:rsid w:val="008C63E5"/>
    <w:rsid w:val="008C75E2"/>
    <w:rsid w:val="008D07C3"/>
    <w:rsid w:val="008D1C74"/>
    <w:rsid w:val="008D57D8"/>
    <w:rsid w:val="008E134A"/>
    <w:rsid w:val="008E2626"/>
    <w:rsid w:val="008E32D6"/>
    <w:rsid w:val="008E50A9"/>
    <w:rsid w:val="008E746E"/>
    <w:rsid w:val="008F3AF2"/>
    <w:rsid w:val="008F3BD5"/>
    <w:rsid w:val="008F47C8"/>
    <w:rsid w:val="008F62A3"/>
    <w:rsid w:val="008F6825"/>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4"/>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1FAB"/>
    <w:rsid w:val="009A31DA"/>
    <w:rsid w:val="009B0344"/>
    <w:rsid w:val="009B5C46"/>
    <w:rsid w:val="009B615D"/>
    <w:rsid w:val="009B7F8F"/>
    <w:rsid w:val="009C26A2"/>
    <w:rsid w:val="009C511D"/>
    <w:rsid w:val="009C7006"/>
    <w:rsid w:val="009D2A50"/>
    <w:rsid w:val="009D3C2C"/>
    <w:rsid w:val="009D3E0E"/>
    <w:rsid w:val="009E2E63"/>
    <w:rsid w:val="009E39F8"/>
    <w:rsid w:val="009E4E88"/>
    <w:rsid w:val="009E52F9"/>
    <w:rsid w:val="009F20BC"/>
    <w:rsid w:val="00A11762"/>
    <w:rsid w:val="00A136D2"/>
    <w:rsid w:val="00A2291F"/>
    <w:rsid w:val="00A233AB"/>
    <w:rsid w:val="00A257D7"/>
    <w:rsid w:val="00A30329"/>
    <w:rsid w:val="00A30356"/>
    <w:rsid w:val="00A36793"/>
    <w:rsid w:val="00A37032"/>
    <w:rsid w:val="00A37D19"/>
    <w:rsid w:val="00A40BC9"/>
    <w:rsid w:val="00A410D5"/>
    <w:rsid w:val="00A41784"/>
    <w:rsid w:val="00A41878"/>
    <w:rsid w:val="00A42936"/>
    <w:rsid w:val="00A45FFF"/>
    <w:rsid w:val="00A473AE"/>
    <w:rsid w:val="00A503EC"/>
    <w:rsid w:val="00A50E93"/>
    <w:rsid w:val="00A50F05"/>
    <w:rsid w:val="00A538E0"/>
    <w:rsid w:val="00A61C23"/>
    <w:rsid w:val="00A631FF"/>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A6E65"/>
    <w:rsid w:val="00AB1C7D"/>
    <w:rsid w:val="00AB1E3D"/>
    <w:rsid w:val="00AB3024"/>
    <w:rsid w:val="00AB30C5"/>
    <w:rsid w:val="00AB3D57"/>
    <w:rsid w:val="00AB3D83"/>
    <w:rsid w:val="00AC1766"/>
    <w:rsid w:val="00AC190C"/>
    <w:rsid w:val="00AC2B37"/>
    <w:rsid w:val="00AC55EE"/>
    <w:rsid w:val="00AC5ABA"/>
    <w:rsid w:val="00AC75AC"/>
    <w:rsid w:val="00AD1C88"/>
    <w:rsid w:val="00AD2D12"/>
    <w:rsid w:val="00AD57C5"/>
    <w:rsid w:val="00AD76F9"/>
    <w:rsid w:val="00AE69F4"/>
    <w:rsid w:val="00AF4B73"/>
    <w:rsid w:val="00AF580B"/>
    <w:rsid w:val="00B010B5"/>
    <w:rsid w:val="00B02B91"/>
    <w:rsid w:val="00B123F4"/>
    <w:rsid w:val="00B12FAE"/>
    <w:rsid w:val="00B1568E"/>
    <w:rsid w:val="00B16382"/>
    <w:rsid w:val="00B258F0"/>
    <w:rsid w:val="00B30BF1"/>
    <w:rsid w:val="00B30F94"/>
    <w:rsid w:val="00B31359"/>
    <w:rsid w:val="00B34E8B"/>
    <w:rsid w:val="00B355C9"/>
    <w:rsid w:val="00B37DA8"/>
    <w:rsid w:val="00B40EBE"/>
    <w:rsid w:val="00B41B58"/>
    <w:rsid w:val="00B429F3"/>
    <w:rsid w:val="00B441DE"/>
    <w:rsid w:val="00B44EEF"/>
    <w:rsid w:val="00B45D4C"/>
    <w:rsid w:val="00B50366"/>
    <w:rsid w:val="00B53102"/>
    <w:rsid w:val="00B57FD1"/>
    <w:rsid w:val="00B616B0"/>
    <w:rsid w:val="00B6314A"/>
    <w:rsid w:val="00B67F50"/>
    <w:rsid w:val="00B71E6F"/>
    <w:rsid w:val="00B71FF4"/>
    <w:rsid w:val="00B7244F"/>
    <w:rsid w:val="00B73FF0"/>
    <w:rsid w:val="00B74AA4"/>
    <w:rsid w:val="00B752FA"/>
    <w:rsid w:val="00B82E5A"/>
    <w:rsid w:val="00B83B7A"/>
    <w:rsid w:val="00B85C31"/>
    <w:rsid w:val="00B86004"/>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8D"/>
    <w:rsid w:val="00BC6CA0"/>
    <w:rsid w:val="00BD09FB"/>
    <w:rsid w:val="00BD1105"/>
    <w:rsid w:val="00BD2759"/>
    <w:rsid w:val="00BD30F0"/>
    <w:rsid w:val="00BE4539"/>
    <w:rsid w:val="00BE658C"/>
    <w:rsid w:val="00BE70FF"/>
    <w:rsid w:val="00BE7A31"/>
    <w:rsid w:val="00BF1880"/>
    <w:rsid w:val="00BF3CF9"/>
    <w:rsid w:val="00BF5C9E"/>
    <w:rsid w:val="00BF6376"/>
    <w:rsid w:val="00BF764F"/>
    <w:rsid w:val="00C00364"/>
    <w:rsid w:val="00C01D2F"/>
    <w:rsid w:val="00C02540"/>
    <w:rsid w:val="00C0640D"/>
    <w:rsid w:val="00C06F28"/>
    <w:rsid w:val="00C07651"/>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152E"/>
    <w:rsid w:val="00CA3B05"/>
    <w:rsid w:val="00CA5711"/>
    <w:rsid w:val="00CA7469"/>
    <w:rsid w:val="00CB00E9"/>
    <w:rsid w:val="00CB4D8E"/>
    <w:rsid w:val="00CB547E"/>
    <w:rsid w:val="00CC01FD"/>
    <w:rsid w:val="00CD2B63"/>
    <w:rsid w:val="00CD517B"/>
    <w:rsid w:val="00CE0296"/>
    <w:rsid w:val="00CE4F24"/>
    <w:rsid w:val="00CE61F2"/>
    <w:rsid w:val="00CF0C6F"/>
    <w:rsid w:val="00CF0FC6"/>
    <w:rsid w:val="00CF2177"/>
    <w:rsid w:val="00CF6740"/>
    <w:rsid w:val="00CF7C2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69F"/>
    <w:rsid w:val="00D359C2"/>
    <w:rsid w:val="00D35C6B"/>
    <w:rsid w:val="00D3608B"/>
    <w:rsid w:val="00D401D3"/>
    <w:rsid w:val="00D41572"/>
    <w:rsid w:val="00D444E8"/>
    <w:rsid w:val="00D44B62"/>
    <w:rsid w:val="00D44E98"/>
    <w:rsid w:val="00D467F1"/>
    <w:rsid w:val="00D4682B"/>
    <w:rsid w:val="00D46C87"/>
    <w:rsid w:val="00D55B54"/>
    <w:rsid w:val="00D57A92"/>
    <w:rsid w:val="00D57E52"/>
    <w:rsid w:val="00D6193B"/>
    <w:rsid w:val="00D638F8"/>
    <w:rsid w:val="00D66BDE"/>
    <w:rsid w:val="00D67163"/>
    <w:rsid w:val="00D7003C"/>
    <w:rsid w:val="00D74632"/>
    <w:rsid w:val="00D75285"/>
    <w:rsid w:val="00D75555"/>
    <w:rsid w:val="00D7602A"/>
    <w:rsid w:val="00D76524"/>
    <w:rsid w:val="00D76A67"/>
    <w:rsid w:val="00D7763D"/>
    <w:rsid w:val="00D77F65"/>
    <w:rsid w:val="00D81380"/>
    <w:rsid w:val="00D84381"/>
    <w:rsid w:val="00D844E3"/>
    <w:rsid w:val="00D907FA"/>
    <w:rsid w:val="00D9263F"/>
    <w:rsid w:val="00D92812"/>
    <w:rsid w:val="00D92AAE"/>
    <w:rsid w:val="00D9369E"/>
    <w:rsid w:val="00D96D56"/>
    <w:rsid w:val="00DA250B"/>
    <w:rsid w:val="00DA40E2"/>
    <w:rsid w:val="00DA57FB"/>
    <w:rsid w:val="00DA7C9E"/>
    <w:rsid w:val="00DB1E80"/>
    <w:rsid w:val="00DB343C"/>
    <w:rsid w:val="00DB3BCF"/>
    <w:rsid w:val="00DB42E2"/>
    <w:rsid w:val="00DB66E3"/>
    <w:rsid w:val="00DB7CC5"/>
    <w:rsid w:val="00DC107D"/>
    <w:rsid w:val="00DC1104"/>
    <w:rsid w:val="00DC3732"/>
    <w:rsid w:val="00DC380A"/>
    <w:rsid w:val="00DD049D"/>
    <w:rsid w:val="00DD1E6B"/>
    <w:rsid w:val="00DD2B3C"/>
    <w:rsid w:val="00DD3C63"/>
    <w:rsid w:val="00DD5BB1"/>
    <w:rsid w:val="00DD738B"/>
    <w:rsid w:val="00DD7EA7"/>
    <w:rsid w:val="00DE6F9C"/>
    <w:rsid w:val="00DF4C23"/>
    <w:rsid w:val="00DF70AF"/>
    <w:rsid w:val="00E01FE9"/>
    <w:rsid w:val="00E03D1D"/>
    <w:rsid w:val="00E12915"/>
    <w:rsid w:val="00E1485E"/>
    <w:rsid w:val="00E21BC9"/>
    <w:rsid w:val="00E23E2B"/>
    <w:rsid w:val="00E247CD"/>
    <w:rsid w:val="00E25B2C"/>
    <w:rsid w:val="00E2698B"/>
    <w:rsid w:val="00E33A22"/>
    <w:rsid w:val="00E3574D"/>
    <w:rsid w:val="00E402A2"/>
    <w:rsid w:val="00E40B2D"/>
    <w:rsid w:val="00E421BF"/>
    <w:rsid w:val="00E45FEF"/>
    <w:rsid w:val="00E52BB4"/>
    <w:rsid w:val="00E52C4B"/>
    <w:rsid w:val="00E54261"/>
    <w:rsid w:val="00E54849"/>
    <w:rsid w:val="00E5578D"/>
    <w:rsid w:val="00E56C2B"/>
    <w:rsid w:val="00E56FF6"/>
    <w:rsid w:val="00E57208"/>
    <w:rsid w:val="00E60425"/>
    <w:rsid w:val="00E605D2"/>
    <w:rsid w:val="00E6267E"/>
    <w:rsid w:val="00E638C9"/>
    <w:rsid w:val="00E67B23"/>
    <w:rsid w:val="00E704E4"/>
    <w:rsid w:val="00E71020"/>
    <w:rsid w:val="00E71BD8"/>
    <w:rsid w:val="00E7215F"/>
    <w:rsid w:val="00E73A86"/>
    <w:rsid w:val="00E74AF7"/>
    <w:rsid w:val="00E776C2"/>
    <w:rsid w:val="00E805DB"/>
    <w:rsid w:val="00E81A76"/>
    <w:rsid w:val="00E867CC"/>
    <w:rsid w:val="00E87CEB"/>
    <w:rsid w:val="00E95A13"/>
    <w:rsid w:val="00E97468"/>
    <w:rsid w:val="00EA3BD2"/>
    <w:rsid w:val="00EA6919"/>
    <w:rsid w:val="00EB02B0"/>
    <w:rsid w:val="00EB0BE7"/>
    <w:rsid w:val="00EB11F4"/>
    <w:rsid w:val="00EB1D8C"/>
    <w:rsid w:val="00EB2575"/>
    <w:rsid w:val="00EB3882"/>
    <w:rsid w:val="00EB46C9"/>
    <w:rsid w:val="00EB4C93"/>
    <w:rsid w:val="00EB5B77"/>
    <w:rsid w:val="00EB6D63"/>
    <w:rsid w:val="00EC110D"/>
    <w:rsid w:val="00EC4DE3"/>
    <w:rsid w:val="00ED046B"/>
    <w:rsid w:val="00ED0B4A"/>
    <w:rsid w:val="00ED2059"/>
    <w:rsid w:val="00ED41B6"/>
    <w:rsid w:val="00ED4E02"/>
    <w:rsid w:val="00ED59DD"/>
    <w:rsid w:val="00EE0E75"/>
    <w:rsid w:val="00EE367A"/>
    <w:rsid w:val="00EE370B"/>
    <w:rsid w:val="00EE47B8"/>
    <w:rsid w:val="00EE7D01"/>
    <w:rsid w:val="00EF05CB"/>
    <w:rsid w:val="00EF1AA9"/>
    <w:rsid w:val="00EF3D12"/>
    <w:rsid w:val="00F02356"/>
    <w:rsid w:val="00F03BC3"/>
    <w:rsid w:val="00F041C6"/>
    <w:rsid w:val="00F11B0B"/>
    <w:rsid w:val="00F13578"/>
    <w:rsid w:val="00F159B1"/>
    <w:rsid w:val="00F21D98"/>
    <w:rsid w:val="00F24297"/>
    <w:rsid w:val="00F2484D"/>
    <w:rsid w:val="00F24C21"/>
    <w:rsid w:val="00F30578"/>
    <w:rsid w:val="00F329A5"/>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0457"/>
    <w:rsid w:val="00F6120A"/>
    <w:rsid w:val="00F61BBA"/>
    <w:rsid w:val="00F61E29"/>
    <w:rsid w:val="00F644A8"/>
    <w:rsid w:val="00F64E79"/>
    <w:rsid w:val="00F67EAE"/>
    <w:rsid w:val="00F7186E"/>
    <w:rsid w:val="00F75438"/>
    <w:rsid w:val="00F77329"/>
    <w:rsid w:val="00F80F63"/>
    <w:rsid w:val="00F81641"/>
    <w:rsid w:val="00F81B15"/>
    <w:rsid w:val="00F83EA3"/>
    <w:rsid w:val="00F83EA8"/>
    <w:rsid w:val="00F83F74"/>
    <w:rsid w:val="00F87F1C"/>
    <w:rsid w:val="00F90D6C"/>
    <w:rsid w:val="00F91EE3"/>
    <w:rsid w:val="00F91FAF"/>
    <w:rsid w:val="00F93513"/>
    <w:rsid w:val="00F940C9"/>
    <w:rsid w:val="00F955D0"/>
    <w:rsid w:val="00F95C19"/>
    <w:rsid w:val="00F96036"/>
    <w:rsid w:val="00FA1754"/>
    <w:rsid w:val="00FA26BB"/>
    <w:rsid w:val="00FA42DA"/>
    <w:rsid w:val="00FA5B92"/>
    <w:rsid w:val="00FA6629"/>
    <w:rsid w:val="00FA68FE"/>
    <w:rsid w:val="00FB3B1F"/>
    <w:rsid w:val="00FB3C5A"/>
    <w:rsid w:val="00FB3D46"/>
    <w:rsid w:val="00FB3F57"/>
    <w:rsid w:val="00FB497C"/>
    <w:rsid w:val="00FB560F"/>
    <w:rsid w:val="00FB64BF"/>
    <w:rsid w:val="00FC3BFC"/>
    <w:rsid w:val="00FC705A"/>
    <w:rsid w:val="00FD0CE9"/>
    <w:rsid w:val="00FD2DCF"/>
    <w:rsid w:val="00FD3035"/>
    <w:rsid w:val="00FD38FA"/>
    <w:rsid w:val="00FD78DF"/>
    <w:rsid w:val="00FE5851"/>
    <w:rsid w:val="00FE61F1"/>
    <w:rsid w:val="00FF151D"/>
    <w:rsid w:val="00FF2C80"/>
    <w:rsid w:val="00FF3642"/>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paragraph" w:styleId="NoSpacing">
    <w:name w:val="No Spacing"/>
    <w:uiPriority w:val="1"/>
    <w:qFormat/>
    <w:rsid w:val="00AD1C8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989095577">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ROLL@DOA.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yroll@doa.virginia.gov" TargetMode="Externa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5FFD5-7E3A-454E-B69A-F82B485E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0</TotalTime>
  <Pages>2</Pages>
  <Words>498</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3793</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McGill, Cathy (DOA)</dc:creator>
  <cp:keywords>Payroll Bulletin 2015-12</cp:keywords>
  <dc:description>Payroll Bulletin 2015-12</dc:description>
  <cp:lastModifiedBy>Attuso, Diana (DOA)</cp:lastModifiedBy>
  <cp:revision>2</cp:revision>
  <cp:lastPrinted>2017-10-30T17:23:00Z</cp:lastPrinted>
  <dcterms:created xsi:type="dcterms:W3CDTF">2017-11-28T15:00:00Z</dcterms:created>
  <dcterms:modified xsi:type="dcterms:W3CDTF">2017-11-28T15:00:00Z</dcterms:modified>
  <cp:category>Payroll Bulletin 2015-12</cp:category>
</cp:coreProperties>
</file>