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A0DC" w14:textId="77777777"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14:paraId="566DE339" w14:textId="77777777"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14:paraId="50B2F09A" w14:textId="77777777"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14:paraId="16C1066D" w14:textId="77777777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14:paraId="7BC51730" w14:textId="613CEC58" w:rsidR="007C617C" w:rsidRDefault="007C617C" w:rsidP="007524CD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7524CD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14:paraId="53178512" w14:textId="3A6865D3" w:rsidR="007C617C" w:rsidRDefault="007E647C" w:rsidP="008E668A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September </w:t>
            </w:r>
            <w:r w:rsidR="00660BBD">
              <w:rPr>
                <w:b/>
                <w:sz w:val="20"/>
              </w:rPr>
              <w:t>25</w:t>
            </w:r>
            <w:r w:rsidR="007524CD">
              <w:rPr>
                <w:b/>
                <w:sz w:val="20"/>
              </w:rPr>
              <w:t>, 2018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14:paraId="4858EE76" w14:textId="4544CF97" w:rsidR="007C617C" w:rsidRDefault="007C617C" w:rsidP="001D664C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1D664C">
              <w:rPr>
                <w:b/>
                <w:sz w:val="20"/>
              </w:rPr>
              <w:t>8</w:t>
            </w:r>
            <w:r w:rsidR="00304474">
              <w:rPr>
                <w:b/>
                <w:sz w:val="20"/>
              </w:rPr>
              <w:t>-</w:t>
            </w:r>
            <w:r w:rsidR="00660BBD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06204A1C" w14:textId="77777777" w:rsidR="00ED0B4A" w:rsidRPr="00D467F1" w:rsidRDefault="00ED0B4A" w:rsidP="00ED0B4A">
      <w:pPr>
        <w:rPr>
          <w:sz w:val="16"/>
          <w:szCs w:val="16"/>
        </w:rPr>
      </w:pPr>
    </w:p>
    <w:tbl>
      <w:tblPr>
        <w:tblW w:w="11019" w:type="dxa"/>
        <w:jc w:val="center"/>
        <w:tblLook w:val="01E0" w:firstRow="1" w:lastRow="1" w:firstColumn="1" w:lastColumn="1" w:noHBand="0" w:noVBand="0"/>
      </w:tblPr>
      <w:tblGrid>
        <w:gridCol w:w="2324"/>
        <w:gridCol w:w="4522"/>
        <w:gridCol w:w="4173"/>
      </w:tblGrid>
      <w:tr w:rsidR="002775F4" w14:paraId="47B261B5" w14:textId="77777777" w:rsidTr="00AD0550">
        <w:trPr>
          <w:trHeight w:val="2595"/>
          <w:jc w:val="center"/>
        </w:trPr>
        <w:tc>
          <w:tcPr>
            <w:tcW w:w="2324" w:type="dxa"/>
          </w:tcPr>
          <w:p w14:paraId="1FC7C4BA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14:paraId="4DD2E205" w14:textId="77777777"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14:paraId="4A84F5D7" w14:textId="0EF9F8C2" w:rsidR="00970855" w:rsidRDefault="007524CD" w:rsidP="007524C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New Special Pay </w:t>
            </w:r>
            <w:r w:rsidR="00AD0550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57 - Non Cash Recruitment Bonus</w:t>
            </w:r>
          </w:p>
          <w:p w14:paraId="4419BBD5" w14:textId="14FE633E" w:rsidR="00FA1401" w:rsidRDefault="00FA1401" w:rsidP="007524C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Leave Share Processing</w:t>
            </w:r>
          </w:p>
          <w:p w14:paraId="7722FA00" w14:textId="77777777" w:rsidR="00FA1401" w:rsidRDefault="00FA1401" w:rsidP="007524C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Payline Reminders</w:t>
            </w:r>
          </w:p>
          <w:p w14:paraId="1AEBDDAC" w14:textId="73D6175C" w:rsidR="004C4173" w:rsidRDefault="004C4173" w:rsidP="00FA1401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H0BB1 Screen Update</w:t>
            </w:r>
          </w:p>
          <w:p w14:paraId="774B1A35" w14:textId="7CDD87BA" w:rsidR="00945307" w:rsidRDefault="00945307" w:rsidP="00FA1401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IRS Update – Moving and Relocation</w:t>
            </w:r>
          </w:p>
          <w:p w14:paraId="5E3F99EF" w14:textId="7A99BE35" w:rsidR="00FA1401" w:rsidRPr="00172018" w:rsidRDefault="00FA1401" w:rsidP="002E1385">
            <w:p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</w:p>
        </w:tc>
        <w:tc>
          <w:tcPr>
            <w:tcW w:w="4173" w:type="dxa"/>
          </w:tcPr>
          <w:p w14:paraId="490147D5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</w:t>
            </w:r>
            <w:proofErr w:type="gramStart"/>
            <w:r w:rsidRPr="00E6267E">
              <w:rPr>
                <w:sz w:val="20"/>
              </w:rPr>
              <w:t>is published</w:t>
            </w:r>
            <w:proofErr w:type="gramEnd"/>
            <w:r w:rsidRPr="00E6267E">
              <w:rPr>
                <w:sz w:val="20"/>
              </w:rPr>
              <w:t xml:space="preserve">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14:paraId="512D8055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14:paraId="158C7006" w14:textId="77777777" w:rsidR="002775F4" w:rsidRPr="00E6267E" w:rsidRDefault="006D635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Acting </w:t>
            </w:r>
            <w:r w:rsidR="002775F4" w:rsidRPr="00E6267E">
              <w:rPr>
                <w:sz w:val="20"/>
              </w:rPr>
              <w:t xml:space="preserve">Director          </w:t>
            </w:r>
            <w:r>
              <w:rPr>
                <w:sz w:val="20"/>
              </w:rPr>
              <w:t xml:space="preserve">    </w:t>
            </w:r>
            <w:r w:rsidR="002775F4" w:rsidRPr="00E6267E">
              <w:rPr>
                <w:sz w:val="20"/>
              </w:rPr>
              <w:t>Cathy C. McGill</w:t>
            </w:r>
          </w:p>
        </w:tc>
      </w:tr>
    </w:tbl>
    <w:p w14:paraId="215B3A31" w14:textId="77777777"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14:paraId="43D430AF" w14:textId="4CFF5855" w:rsidR="00730459" w:rsidRDefault="007524CD" w:rsidP="0073045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New Special Pay </w:t>
      </w:r>
      <w:r w:rsidR="006400B5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57 –</w:t>
      </w:r>
      <w:r w:rsidR="00240A2E">
        <w:rPr>
          <w:b/>
          <w:bCs/>
          <w:color w:val="000000"/>
          <w:sz w:val="28"/>
          <w:szCs w:val="28"/>
        </w:rPr>
        <w:t xml:space="preserve"> Non-</w:t>
      </w:r>
      <w:r>
        <w:rPr>
          <w:b/>
          <w:bCs/>
          <w:color w:val="000000"/>
          <w:sz w:val="28"/>
          <w:szCs w:val="28"/>
        </w:rPr>
        <w:t>Cash Recruitment Bonus</w:t>
      </w:r>
    </w:p>
    <w:p w14:paraId="3E5C7CF8" w14:textId="77777777" w:rsidR="00730459" w:rsidRDefault="00730459" w:rsidP="00730459">
      <w:pPr>
        <w:pStyle w:val="BlockLine"/>
        <w:ind w:left="1350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38"/>
        <w:gridCol w:w="9162"/>
      </w:tblGrid>
      <w:tr w:rsidR="00730459" w14:paraId="1AF5C460" w14:textId="77777777" w:rsidTr="00085CDF">
        <w:trPr>
          <w:cantSplit/>
          <w:trHeight w:val="2345"/>
        </w:trPr>
        <w:tc>
          <w:tcPr>
            <w:tcW w:w="1638" w:type="dxa"/>
          </w:tcPr>
          <w:p w14:paraId="7D33164C" w14:textId="035A6A4C" w:rsidR="00730459" w:rsidRPr="00AD0F5A" w:rsidRDefault="007524CD" w:rsidP="007C32C0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Student Loan Repayment Bonus</w:t>
            </w:r>
          </w:p>
        </w:tc>
        <w:tc>
          <w:tcPr>
            <w:tcW w:w="9162" w:type="dxa"/>
          </w:tcPr>
          <w:p w14:paraId="6BB1DA28" w14:textId="53B65D7C" w:rsidR="00730459" w:rsidRDefault="007524CD" w:rsidP="008619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DHRM </w:t>
            </w:r>
            <w:r w:rsidR="00240A2E">
              <w:rPr>
                <w:color w:val="000000"/>
                <w:szCs w:val="24"/>
              </w:rPr>
              <w:t xml:space="preserve">has revised </w:t>
            </w:r>
            <w:r>
              <w:rPr>
                <w:color w:val="000000"/>
                <w:szCs w:val="24"/>
              </w:rPr>
              <w:t xml:space="preserve">Policy 3.05 </w:t>
            </w:r>
            <w:r w:rsidR="009D7630">
              <w:rPr>
                <w:color w:val="000000"/>
                <w:szCs w:val="24"/>
              </w:rPr>
              <w:t>to include</w:t>
            </w:r>
            <w:r>
              <w:rPr>
                <w:color w:val="000000"/>
                <w:szCs w:val="24"/>
              </w:rPr>
              <w:t xml:space="preserve"> a </w:t>
            </w:r>
            <w:r w:rsidR="008619E1">
              <w:rPr>
                <w:color w:val="000000"/>
                <w:szCs w:val="24"/>
              </w:rPr>
              <w:t xml:space="preserve">“Student Loan Repayment Bonus” </w:t>
            </w:r>
            <w:r w:rsidR="001664BB">
              <w:rPr>
                <w:color w:val="000000"/>
                <w:szCs w:val="24"/>
              </w:rPr>
              <w:t>for</w:t>
            </w:r>
            <w:r w:rsidR="00240A2E">
              <w:rPr>
                <w:color w:val="000000"/>
                <w:szCs w:val="24"/>
              </w:rPr>
              <w:t xml:space="preserve"> use as a</w:t>
            </w:r>
            <w:r w:rsidR="008619E1">
              <w:rPr>
                <w:color w:val="000000"/>
                <w:szCs w:val="24"/>
              </w:rPr>
              <w:t xml:space="preserve"> </w:t>
            </w:r>
            <w:r w:rsidR="00240A2E">
              <w:rPr>
                <w:color w:val="000000"/>
                <w:szCs w:val="24"/>
              </w:rPr>
              <w:t xml:space="preserve">new hire </w:t>
            </w:r>
            <w:r w:rsidR="008619E1">
              <w:rPr>
                <w:color w:val="000000"/>
                <w:szCs w:val="24"/>
              </w:rPr>
              <w:t>recruitment incentive.</w:t>
            </w:r>
            <w:r w:rsidR="00776BF8">
              <w:rPr>
                <w:color w:val="000000"/>
                <w:szCs w:val="24"/>
              </w:rPr>
              <w:t xml:space="preserve"> </w:t>
            </w:r>
          </w:p>
          <w:p w14:paraId="411ADEEE" w14:textId="77777777" w:rsidR="00776BF8" w:rsidRDefault="00776BF8" w:rsidP="008619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47F04A31" w14:textId="3A99DB24" w:rsidR="00776BF8" w:rsidRDefault="000C6C5E" w:rsidP="008619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Upon approval of a “Student Loan Repayment Bonus”</w:t>
            </w:r>
            <w:r w:rsidR="00FE5869">
              <w:rPr>
                <w:color w:val="000000"/>
                <w:szCs w:val="24"/>
              </w:rPr>
              <w:t>,</w:t>
            </w:r>
            <w:r w:rsidR="00240A2E">
              <w:rPr>
                <w:color w:val="000000"/>
                <w:szCs w:val="24"/>
              </w:rPr>
              <w:t xml:space="preserve"> the agency makes the payment directly to the creditor.  </w:t>
            </w:r>
            <w:r w:rsidR="00D670FB">
              <w:rPr>
                <w:color w:val="000000"/>
                <w:szCs w:val="24"/>
              </w:rPr>
              <w:t xml:space="preserve">The bonus </w:t>
            </w:r>
            <w:proofErr w:type="gramStart"/>
            <w:r w:rsidR="00D670FB">
              <w:rPr>
                <w:color w:val="000000"/>
                <w:szCs w:val="24"/>
              </w:rPr>
              <w:t xml:space="preserve">is not </w:t>
            </w:r>
            <w:r w:rsidR="00D21239">
              <w:rPr>
                <w:color w:val="000000"/>
                <w:szCs w:val="24"/>
              </w:rPr>
              <w:t>processed</w:t>
            </w:r>
            <w:proofErr w:type="gramEnd"/>
            <w:r w:rsidR="00D21239">
              <w:rPr>
                <w:color w:val="000000"/>
                <w:szCs w:val="24"/>
              </w:rPr>
              <w:t xml:space="preserve"> in</w:t>
            </w:r>
            <w:r w:rsidR="00D670FB">
              <w:rPr>
                <w:color w:val="000000"/>
                <w:szCs w:val="24"/>
              </w:rPr>
              <w:t xml:space="preserve"> </w:t>
            </w:r>
            <w:r w:rsidR="00D21239">
              <w:rPr>
                <w:color w:val="000000"/>
                <w:szCs w:val="24"/>
              </w:rPr>
              <w:t>CIPPS</w:t>
            </w:r>
            <w:r>
              <w:rPr>
                <w:color w:val="000000"/>
                <w:szCs w:val="24"/>
              </w:rPr>
              <w:t xml:space="preserve">, however the amount paid to the creditor is a </w:t>
            </w:r>
            <w:r w:rsidR="00E23846">
              <w:rPr>
                <w:color w:val="000000"/>
                <w:szCs w:val="24"/>
              </w:rPr>
              <w:t>taxable</w:t>
            </w:r>
            <w:r>
              <w:rPr>
                <w:color w:val="000000"/>
                <w:szCs w:val="24"/>
              </w:rPr>
              <w:t xml:space="preserve"> fringe benefit </w:t>
            </w:r>
            <w:r w:rsidR="0025630E">
              <w:rPr>
                <w:color w:val="000000"/>
                <w:szCs w:val="24"/>
              </w:rPr>
              <w:t xml:space="preserve">to the employee </w:t>
            </w:r>
            <w:r>
              <w:rPr>
                <w:color w:val="000000"/>
                <w:szCs w:val="24"/>
              </w:rPr>
              <w:t xml:space="preserve">and </w:t>
            </w:r>
            <w:r w:rsidR="00D670FB">
              <w:rPr>
                <w:color w:val="000000"/>
                <w:szCs w:val="24"/>
              </w:rPr>
              <w:t>the appropriate taxes must be withheld through payroll.</w:t>
            </w:r>
          </w:p>
          <w:p w14:paraId="09C823D9" w14:textId="77777777" w:rsidR="00240A2E" w:rsidRDefault="00240A2E" w:rsidP="008619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1E89666" w14:textId="49CD58A8" w:rsidR="00D670FB" w:rsidRDefault="00D670FB" w:rsidP="008619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r</w:t>
            </w:r>
            <w:r w:rsidR="00C40C9A">
              <w:rPr>
                <w:color w:val="000000"/>
                <w:szCs w:val="24"/>
              </w:rPr>
              <w:t>ecord the Student Loan Repayment Bonus</w:t>
            </w:r>
            <w:r w:rsidR="000C6C5E">
              <w:rPr>
                <w:color w:val="000000"/>
                <w:szCs w:val="24"/>
              </w:rPr>
              <w:t xml:space="preserve"> and withhold </w:t>
            </w:r>
            <w:r w:rsidR="00D21239">
              <w:rPr>
                <w:color w:val="000000"/>
                <w:szCs w:val="24"/>
              </w:rPr>
              <w:t xml:space="preserve">the appropriate </w:t>
            </w:r>
            <w:r w:rsidR="000C6C5E">
              <w:rPr>
                <w:color w:val="000000"/>
                <w:szCs w:val="24"/>
              </w:rPr>
              <w:t>taxes</w:t>
            </w:r>
            <w:r w:rsidR="0036354A">
              <w:rPr>
                <w:color w:val="000000"/>
                <w:szCs w:val="24"/>
              </w:rPr>
              <w:t>, k</w:t>
            </w:r>
            <w:r w:rsidR="00240A2E">
              <w:rPr>
                <w:color w:val="000000"/>
                <w:szCs w:val="24"/>
              </w:rPr>
              <w:t xml:space="preserve">ey a transaction on HUE01 using </w:t>
            </w:r>
            <w:r w:rsidR="00240A2E" w:rsidRPr="00451553">
              <w:rPr>
                <w:b/>
                <w:color w:val="000000"/>
                <w:szCs w:val="24"/>
              </w:rPr>
              <w:t>Special Pay #</w:t>
            </w:r>
            <w:r w:rsidR="00451553">
              <w:rPr>
                <w:b/>
                <w:color w:val="000000"/>
                <w:szCs w:val="24"/>
              </w:rPr>
              <w:t>0</w:t>
            </w:r>
            <w:r w:rsidR="00240A2E" w:rsidRPr="00451553">
              <w:rPr>
                <w:b/>
                <w:color w:val="000000"/>
                <w:szCs w:val="24"/>
              </w:rPr>
              <w:t>57 – NC RCRT BONUS</w:t>
            </w:r>
            <w:r w:rsidR="00240A2E">
              <w:rPr>
                <w:color w:val="000000"/>
                <w:szCs w:val="24"/>
              </w:rPr>
              <w:t xml:space="preserve"> (Non-Cash Recruitment Bonus)</w:t>
            </w:r>
            <w:r w:rsidR="000C6C5E">
              <w:rPr>
                <w:color w:val="000000"/>
                <w:szCs w:val="24"/>
              </w:rPr>
              <w:t xml:space="preserve"> for the amount paid to the creditor</w:t>
            </w:r>
            <w:r w:rsidR="00240A2E">
              <w:rPr>
                <w:color w:val="000000"/>
                <w:szCs w:val="24"/>
              </w:rPr>
              <w:t xml:space="preserve">.   This </w:t>
            </w:r>
            <w:r w:rsidR="00C40C9A">
              <w:rPr>
                <w:color w:val="000000"/>
                <w:szCs w:val="24"/>
              </w:rPr>
              <w:t>transaction</w:t>
            </w:r>
            <w:r w:rsidR="00240A2E">
              <w:rPr>
                <w:color w:val="000000"/>
                <w:szCs w:val="24"/>
              </w:rPr>
              <w:t xml:space="preserve"> will withhold </w:t>
            </w:r>
            <w:r w:rsidR="00451553">
              <w:rPr>
                <w:color w:val="000000"/>
                <w:szCs w:val="24"/>
              </w:rPr>
              <w:t xml:space="preserve">the </w:t>
            </w:r>
            <w:r w:rsidR="00D21239">
              <w:rPr>
                <w:color w:val="000000"/>
                <w:szCs w:val="24"/>
              </w:rPr>
              <w:t xml:space="preserve">employer and employee </w:t>
            </w:r>
            <w:r w:rsidR="00240A2E">
              <w:rPr>
                <w:color w:val="000000"/>
                <w:szCs w:val="24"/>
              </w:rPr>
              <w:t xml:space="preserve">taxes </w:t>
            </w:r>
            <w:r w:rsidR="00451553">
              <w:rPr>
                <w:color w:val="000000"/>
                <w:szCs w:val="24"/>
              </w:rPr>
              <w:t xml:space="preserve">due </w:t>
            </w:r>
            <w:r>
              <w:rPr>
                <w:color w:val="000000"/>
                <w:szCs w:val="24"/>
              </w:rPr>
              <w:t>on the next available</w:t>
            </w:r>
            <w:r w:rsidR="005A4D57">
              <w:rPr>
                <w:color w:val="000000"/>
                <w:szCs w:val="24"/>
              </w:rPr>
              <w:t xml:space="preserve"> paycheck.</w:t>
            </w:r>
            <w:r w:rsidR="00D73595">
              <w:rPr>
                <w:color w:val="000000"/>
                <w:szCs w:val="24"/>
              </w:rPr>
              <w:t xml:space="preserve">  </w:t>
            </w:r>
          </w:p>
          <w:p w14:paraId="6F4E4D56" w14:textId="77777777" w:rsidR="00D670FB" w:rsidRDefault="00D670FB" w:rsidP="008619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7877495" w14:textId="4CA18517" w:rsidR="00240A2E" w:rsidRDefault="00D73595" w:rsidP="008619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KEY THIS TRANSACTION IMMEDIATELY AFTER </w:t>
            </w:r>
            <w:r w:rsidR="00D21239">
              <w:rPr>
                <w:color w:val="000000"/>
                <w:szCs w:val="24"/>
              </w:rPr>
              <w:t xml:space="preserve">ACCOUNTS PAYABLE MAKES THE PAYMENT </w:t>
            </w:r>
            <w:r>
              <w:rPr>
                <w:color w:val="000000"/>
                <w:szCs w:val="24"/>
              </w:rPr>
              <w:t>TO AVOID IRS PENALTIES FOR LATE TAX DEPOSITS.</w:t>
            </w:r>
          </w:p>
          <w:p w14:paraId="411962E5" w14:textId="77777777" w:rsidR="00D73595" w:rsidRDefault="00D73595" w:rsidP="00C40C9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161AB50" w14:textId="076A9A5A" w:rsidR="000C6C5E" w:rsidRPr="00891123" w:rsidRDefault="00240A2E" w:rsidP="00D7359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If you have any questions, please send an email to </w:t>
            </w:r>
            <w:hyperlink r:id="rId9" w:history="1">
              <w:r w:rsidRPr="00034C2A">
                <w:rPr>
                  <w:rStyle w:val="Hyperlink"/>
                  <w:szCs w:val="24"/>
                </w:rPr>
                <w:t>payroll@doa.virginia.gov</w:t>
              </w:r>
            </w:hyperlink>
            <w:r>
              <w:rPr>
                <w:color w:val="000000"/>
                <w:szCs w:val="24"/>
              </w:rPr>
              <w:t>.</w:t>
            </w:r>
          </w:p>
        </w:tc>
      </w:tr>
    </w:tbl>
    <w:p w14:paraId="7CE06E06" w14:textId="3FA9CAE3" w:rsidR="00D21CAC" w:rsidRDefault="00D21CAC" w:rsidP="0062680C">
      <w:pPr>
        <w:pStyle w:val="BlockLine"/>
        <w:ind w:left="1350"/>
        <w:rPr>
          <w:sz w:val="16"/>
          <w:szCs w:val="16"/>
        </w:rPr>
      </w:pPr>
    </w:p>
    <w:p w14:paraId="797F84CB" w14:textId="0CBE8026" w:rsidR="00D21CAC" w:rsidRDefault="00D21CAC" w:rsidP="00D21CAC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Leave Share </w:t>
      </w:r>
      <w:r w:rsidR="00E8478A">
        <w:rPr>
          <w:b/>
          <w:bCs/>
          <w:color w:val="000000"/>
          <w:sz w:val="28"/>
          <w:szCs w:val="28"/>
        </w:rPr>
        <w:t>Processing</w:t>
      </w:r>
    </w:p>
    <w:p w14:paraId="2C165B9B" w14:textId="77777777" w:rsidR="00D21CAC" w:rsidRDefault="00D21CAC" w:rsidP="00D21CAC">
      <w:pPr>
        <w:pStyle w:val="BlockLine"/>
        <w:ind w:left="1350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38"/>
        <w:gridCol w:w="9162"/>
      </w:tblGrid>
      <w:tr w:rsidR="00D21CAC" w14:paraId="1E65F0A0" w14:textId="77777777" w:rsidTr="006D4CF2">
        <w:trPr>
          <w:cantSplit/>
          <w:trHeight w:val="2345"/>
        </w:trPr>
        <w:tc>
          <w:tcPr>
            <w:tcW w:w="1638" w:type="dxa"/>
          </w:tcPr>
          <w:p w14:paraId="70C50686" w14:textId="2AAA4526" w:rsidR="00D21CAC" w:rsidRPr="00AD0F5A" w:rsidRDefault="004A7040" w:rsidP="006D4CF2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Partial Pay Spreadsheet Revised</w:t>
            </w:r>
          </w:p>
        </w:tc>
        <w:tc>
          <w:tcPr>
            <w:tcW w:w="9162" w:type="dxa"/>
          </w:tcPr>
          <w:p w14:paraId="04C35BFF" w14:textId="69489EF6" w:rsidR="00D21CAC" w:rsidRDefault="003A126C" w:rsidP="00D21CA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DHR</w:t>
            </w:r>
            <w:r w:rsidR="007B59C0">
              <w:rPr>
                <w:color w:val="000000"/>
                <w:szCs w:val="24"/>
              </w:rPr>
              <w:t>M Policy 4.35 details the eligibility and authorization for the Leave Share Program.</w:t>
            </w:r>
          </w:p>
          <w:p w14:paraId="6A2804D3" w14:textId="77777777" w:rsidR="00980421" w:rsidRDefault="00980421" w:rsidP="00D21CA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34731F7" w14:textId="4F1F00FA" w:rsidR="00980421" w:rsidRDefault="00980421" w:rsidP="00D21CA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When an employee receives compensation </w:t>
            </w:r>
            <w:proofErr w:type="gramStart"/>
            <w:r>
              <w:rPr>
                <w:color w:val="000000"/>
                <w:szCs w:val="24"/>
              </w:rPr>
              <w:t>as a result</w:t>
            </w:r>
            <w:proofErr w:type="gramEnd"/>
            <w:r>
              <w:rPr>
                <w:color w:val="000000"/>
                <w:szCs w:val="24"/>
              </w:rPr>
              <w:t xml:space="preserve"> of leave donations, agencies should use Special Pay 006</w:t>
            </w:r>
            <w:r w:rsidR="00FB5E24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“Leave Share”.</w:t>
            </w:r>
          </w:p>
          <w:p w14:paraId="092DFA98" w14:textId="77777777" w:rsidR="00980421" w:rsidRDefault="00980421" w:rsidP="00D21CA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745088E" w14:textId="1854C081" w:rsidR="00980421" w:rsidRPr="00891123" w:rsidRDefault="00980421" w:rsidP="000A0E6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The </w:t>
            </w:r>
            <w:hyperlink r:id="rId10" w:history="1">
              <w:r w:rsidRPr="00980421">
                <w:rPr>
                  <w:rStyle w:val="Hyperlink"/>
                  <w:szCs w:val="24"/>
                </w:rPr>
                <w:t>“Partial Pay Calculations” Spreadsheet</w:t>
              </w:r>
            </w:hyperlink>
            <w:r>
              <w:rPr>
                <w:color w:val="000000"/>
                <w:szCs w:val="24"/>
              </w:rPr>
              <w:t xml:space="preserve"> found on our website </w:t>
            </w:r>
            <w:proofErr w:type="gramStart"/>
            <w:r>
              <w:rPr>
                <w:color w:val="000000"/>
                <w:szCs w:val="24"/>
              </w:rPr>
              <w:t>has been revised</w:t>
            </w:r>
            <w:proofErr w:type="gramEnd"/>
            <w:r>
              <w:rPr>
                <w:color w:val="000000"/>
                <w:szCs w:val="24"/>
              </w:rPr>
              <w:t xml:space="preserve"> to include a line to record payments made to the employee for “Leave Share”.   </w:t>
            </w:r>
            <w:r w:rsidR="000A0E6F">
              <w:rPr>
                <w:color w:val="000000"/>
                <w:szCs w:val="24"/>
              </w:rPr>
              <w:t xml:space="preserve">Employees receiving donations in the Leave Share program must be on LWOP Status.  </w:t>
            </w:r>
            <w:r>
              <w:rPr>
                <w:color w:val="000000"/>
                <w:szCs w:val="24"/>
              </w:rPr>
              <w:t xml:space="preserve">Hours keyed for “Leave Share” </w:t>
            </w:r>
            <w:r w:rsidR="000A0E6F">
              <w:rPr>
                <w:color w:val="000000"/>
                <w:szCs w:val="24"/>
              </w:rPr>
              <w:t>(Row 18) or LWOP (Row 17) reduce the number of regular hours paid to the employee for the pay period.</w:t>
            </w:r>
          </w:p>
        </w:tc>
      </w:tr>
    </w:tbl>
    <w:p w14:paraId="09E76EB2" w14:textId="77777777" w:rsidR="00660BBD" w:rsidRDefault="00660BBD" w:rsidP="00F77F69">
      <w:pPr>
        <w:pStyle w:val="NormalWeb"/>
        <w:rPr>
          <w:sz w:val="16"/>
          <w:szCs w:val="16"/>
        </w:rPr>
      </w:pPr>
    </w:p>
    <w:p w14:paraId="3D16FEFD" w14:textId="33100D9F" w:rsidR="00F77F69" w:rsidRDefault="00F77F69" w:rsidP="00F77F6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Payline Reminders</w:t>
      </w:r>
      <w:r>
        <w:rPr>
          <w:b/>
          <w:bCs/>
          <w:color w:val="000000"/>
          <w:sz w:val="28"/>
          <w:szCs w:val="28"/>
        </w:rPr>
        <w:tab/>
      </w:r>
    </w:p>
    <w:p w14:paraId="3640F2E6" w14:textId="77777777" w:rsidR="00F77F69" w:rsidRDefault="00F77F69" w:rsidP="00F77F69">
      <w:pPr>
        <w:pStyle w:val="BlockLine"/>
        <w:ind w:left="1350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38"/>
        <w:gridCol w:w="9162"/>
      </w:tblGrid>
      <w:tr w:rsidR="00F77F69" w14:paraId="119B349D" w14:textId="77777777" w:rsidTr="0034549E">
        <w:trPr>
          <w:cantSplit/>
          <w:trHeight w:val="2345"/>
        </w:trPr>
        <w:tc>
          <w:tcPr>
            <w:tcW w:w="1638" w:type="dxa"/>
          </w:tcPr>
          <w:p w14:paraId="74B323DD" w14:textId="67C84F7C" w:rsidR="00F77F69" w:rsidRPr="00AD0F5A" w:rsidRDefault="00F77F69" w:rsidP="0034549E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Payline Reminders</w:t>
            </w:r>
          </w:p>
        </w:tc>
        <w:tc>
          <w:tcPr>
            <w:tcW w:w="9162" w:type="dxa"/>
          </w:tcPr>
          <w:p w14:paraId="28C2B783" w14:textId="0FCECDB7" w:rsidR="00F77F69" w:rsidRDefault="00947D34" w:rsidP="00947D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New hires cannot establish a Payline </w:t>
            </w:r>
            <w:r w:rsidR="00A77051">
              <w:rPr>
                <w:color w:val="000000"/>
                <w:szCs w:val="24"/>
              </w:rPr>
              <w:t>security record</w:t>
            </w:r>
            <w:r>
              <w:rPr>
                <w:color w:val="000000"/>
                <w:szCs w:val="24"/>
              </w:rPr>
              <w:t xml:space="preserve"> until the day after their first payroll is certified.  </w:t>
            </w:r>
            <w:r w:rsidR="00A77051">
              <w:rPr>
                <w:color w:val="000000"/>
                <w:szCs w:val="24"/>
              </w:rPr>
              <w:t xml:space="preserve">State Payroll Ops </w:t>
            </w:r>
            <w:r>
              <w:rPr>
                <w:color w:val="000000"/>
                <w:szCs w:val="24"/>
              </w:rPr>
              <w:t>receive</w:t>
            </w:r>
            <w:r w:rsidR="00A77051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 xml:space="preserve"> many emails from </w:t>
            </w:r>
            <w:r w:rsidR="00840D04">
              <w:rPr>
                <w:color w:val="000000"/>
                <w:szCs w:val="24"/>
              </w:rPr>
              <w:t xml:space="preserve">confused new hires that are unable to access Payline because they </w:t>
            </w:r>
            <w:r>
              <w:rPr>
                <w:color w:val="000000"/>
                <w:szCs w:val="24"/>
              </w:rPr>
              <w:t xml:space="preserve">tried to log </w:t>
            </w:r>
            <w:r w:rsidR="00840D04">
              <w:rPr>
                <w:color w:val="000000"/>
                <w:szCs w:val="24"/>
              </w:rPr>
              <w:t>in prematurely</w:t>
            </w:r>
            <w:r>
              <w:rPr>
                <w:color w:val="000000"/>
                <w:szCs w:val="24"/>
              </w:rPr>
              <w:t xml:space="preserve">.  To avoid confusion, </w:t>
            </w:r>
            <w:r w:rsidR="00731667">
              <w:rPr>
                <w:color w:val="000000"/>
                <w:szCs w:val="24"/>
              </w:rPr>
              <w:t>please communicate the date when they can successfully access their records.</w:t>
            </w:r>
          </w:p>
          <w:p w14:paraId="45D8AE44" w14:textId="248B8866" w:rsidR="00B25743" w:rsidRDefault="00B25743" w:rsidP="00947D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If the employee does not know their 9-digit Commonwealth Employee ID, </w:t>
            </w:r>
            <w:r w:rsidR="00A77051">
              <w:rPr>
                <w:color w:val="000000"/>
                <w:szCs w:val="24"/>
              </w:rPr>
              <w:t xml:space="preserve">DOA will not </w:t>
            </w:r>
            <w:r>
              <w:rPr>
                <w:color w:val="000000"/>
                <w:szCs w:val="24"/>
              </w:rPr>
              <w:t>provide that information</w:t>
            </w:r>
            <w:r w:rsidR="00A77051">
              <w:rPr>
                <w:color w:val="000000"/>
                <w:szCs w:val="24"/>
              </w:rPr>
              <w:t xml:space="preserve"> for security reasons</w:t>
            </w:r>
            <w:r>
              <w:rPr>
                <w:color w:val="000000"/>
                <w:szCs w:val="24"/>
              </w:rPr>
              <w:t>.  The</w:t>
            </w:r>
            <w:r w:rsidR="00A77051">
              <w:rPr>
                <w:color w:val="000000"/>
                <w:szCs w:val="24"/>
              </w:rPr>
              <w:t xml:space="preserve"> employee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will be sent</w:t>
            </w:r>
            <w:proofErr w:type="gramEnd"/>
            <w:r>
              <w:rPr>
                <w:color w:val="000000"/>
                <w:szCs w:val="24"/>
              </w:rPr>
              <w:t xml:space="preserve"> to </w:t>
            </w:r>
            <w:r w:rsidR="00CD25D1">
              <w:rPr>
                <w:color w:val="000000"/>
                <w:szCs w:val="24"/>
              </w:rPr>
              <w:t xml:space="preserve">the agency </w:t>
            </w:r>
            <w:r>
              <w:rPr>
                <w:color w:val="000000"/>
                <w:szCs w:val="24"/>
              </w:rPr>
              <w:t>Payline contact</w:t>
            </w:r>
            <w:r w:rsidR="00FD66EA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 xml:space="preserve"> to obtain the correct employee ID.  If your agency issues a different employee ID for internal purposes, please make </w:t>
            </w:r>
            <w:proofErr w:type="gramStart"/>
            <w:r>
              <w:rPr>
                <w:color w:val="000000"/>
                <w:szCs w:val="24"/>
              </w:rPr>
              <w:t>sure</w:t>
            </w:r>
            <w:proofErr w:type="gramEnd"/>
            <w:r>
              <w:rPr>
                <w:color w:val="000000"/>
                <w:szCs w:val="24"/>
              </w:rPr>
              <w:t xml:space="preserve"> your employees understand that they must use the 9-digit Commonwealth Employee ID to access Payline.</w:t>
            </w:r>
          </w:p>
          <w:p w14:paraId="6465001B" w14:textId="70ADB498" w:rsidR="00947D34" w:rsidRPr="00D43178" w:rsidRDefault="00947D34" w:rsidP="00F362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3178">
              <w:rPr>
                <w:color w:val="000000"/>
                <w:szCs w:val="24"/>
              </w:rPr>
              <w:t xml:space="preserve">If an employee requests historical payroll information not available in Payline, </w:t>
            </w:r>
            <w:r w:rsidR="004D2D94">
              <w:rPr>
                <w:color w:val="000000"/>
                <w:szCs w:val="24"/>
              </w:rPr>
              <w:t xml:space="preserve">they </w:t>
            </w:r>
            <w:proofErr w:type="gramStart"/>
            <w:r w:rsidR="004D2D94">
              <w:rPr>
                <w:color w:val="000000"/>
                <w:szCs w:val="24"/>
              </w:rPr>
              <w:t>will again be referred</w:t>
            </w:r>
            <w:proofErr w:type="gramEnd"/>
            <w:r w:rsidR="004D2D94">
              <w:rPr>
                <w:color w:val="000000"/>
                <w:szCs w:val="24"/>
              </w:rPr>
              <w:t xml:space="preserve"> to the agency </w:t>
            </w:r>
            <w:r w:rsidR="00CD25D1">
              <w:rPr>
                <w:color w:val="000000"/>
                <w:szCs w:val="24"/>
              </w:rPr>
              <w:t>P</w:t>
            </w:r>
            <w:r w:rsidRPr="00D43178">
              <w:rPr>
                <w:color w:val="000000"/>
                <w:szCs w:val="24"/>
              </w:rPr>
              <w:t>ay</w:t>
            </w:r>
            <w:r w:rsidR="00CD25D1">
              <w:rPr>
                <w:color w:val="000000"/>
                <w:szCs w:val="24"/>
              </w:rPr>
              <w:t>line</w:t>
            </w:r>
            <w:r w:rsidRPr="00D43178">
              <w:rPr>
                <w:color w:val="000000"/>
                <w:szCs w:val="24"/>
              </w:rPr>
              <w:t xml:space="preserve"> contact.  </w:t>
            </w:r>
            <w:r w:rsidR="004D2D94">
              <w:rPr>
                <w:color w:val="000000"/>
                <w:szCs w:val="24"/>
              </w:rPr>
              <w:t xml:space="preserve">DOA </w:t>
            </w:r>
            <w:r w:rsidR="00CD25D1">
              <w:rPr>
                <w:color w:val="000000"/>
                <w:szCs w:val="24"/>
              </w:rPr>
              <w:t>cannot verify the employee’s identity.  Therefore</w:t>
            </w:r>
            <w:r w:rsidR="00731667">
              <w:rPr>
                <w:color w:val="000000"/>
                <w:szCs w:val="24"/>
              </w:rPr>
              <w:t>,</w:t>
            </w:r>
            <w:r w:rsidR="00CD25D1">
              <w:rPr>
                <w:color w:val="000000"/>
                <w:szCs w:val="24"/>
              </w:rPr>
              <w:t xml:space="preserve"> any request for historical information must come from </w:t>
            </w:r>
            <w:r w:rsidR="004D2D94">
              <w:rPr>
                <w:color w:val="000000"/>
                <w:szCs w:val="24"/>
              </w:rPr>
              <w:t>individuals identified as agency contacts.</w:t>
            </w:r>
            <w:r w:rsidR="00B25743">
              <w:rPr>
                <w:color w:val="000000"/>
                <w:szCs w:val="24"/>
              </w:rPr>
              <w:t xml:space="preserve">  If </w:t>
            </w:r>
            <w:r w:rsidR="004D2D94">
              <w:rPr>
                <w:color w:val="000000"/>
                <w:szCs w:val="24"/>
              </w:rPr>
              <w:t xml:space="preserve">the information is available, it </w:t>
            </w:r>
            <w:proofErr w:type="gramStart"/>
            <w:r w:rsidR="004D2D94">
              <w:rPr>
                <w:color w:val="000000"/>
                <w:szCs w:val="24"/>
              </w:rPr>
              <w:t>will be sent</w:t>
            </w:r>
            <w:proofErr w:type="gramEnd"/>
            <w:r w:rsidR="004D2D94">
              <w:rPr>
                <w:color w:val="000000"/>
                <w:szCs w:val="24"/>
              </w:rPr>
              <w:t xml:space="preserve"> in a secure manner </w:t>
            </w:r>
            <w:r w:rsidR="00B25743">
              <w:rPr>
                <w:color w:val="000000"/>
                <w:szCs w:val="24"/>
              </w:rPr>
              <w:t xml:space="preserve">to the </w:t>
            </w:r>
            <w:r w:rsidR="004D2D94">
              <w:rPr>
                <w:color w:val="000000"/>
                <w:szCs w:val="24"/>
              </w:rPr>
              <w:t>requestor.</w:t>
            </w:r>
            <w:r w:rsidR="00B25743">
              <w:rPr>
                <w:color w:val="000000"/>
                <w:szCs w:val="24"/>
              </w:rPr>
              <w:t xml:space="preserve">  </w:t>
            </w:r>
          </w:p>
          <w:p w14:paraId="3D200CE3" w14:textId="0CA2D881" w:rsidR="00A600CE" w:rsidRPr="00A600CE" w:rsidRDefault="00A600CE" w:rsidP="004D2D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3178">
              <w:rPr>
                <w:color w:val="000000"/>
                <w:szCs w:val="24"/>
              </w:rPr>
              <w:t xml:space="preserve">For security reasons, employees can only change their password once in a </w:t>
            </w:r>
            <w:proofErr w:type="gramStart"/>
            <w:r w:rsidRPr="00D43178">
              <w:rPr>
                <w:color w:val="000000"/>
                <w:szCs w:val="24"/>
              </w:rPr>
              <w:t>24 hour</w:t>
            </w:r>
            <w:proofErr w:type="gramEnd"/>
            <w:r w:rsidRPr="00D43178">
              <w:rPr>
                <w:color w:val="000000"/>
                <w:szCs w:val="24"/>
              </w:rPr>
              <w:t xml:space="preserve"> period</w:t>
            </w:r>
            <w:r w:rsidR="00D43178" w:rsidRPr="00D43178">
              <w:rPr>
                <w:color w:val="000000"/>
                <w:szCs w:val="24"/>
              </w:rPr>
              <w:t xml:space="preserve">.  </w:t>
            </w:r>
            <w:r w:rsidR="004D2D94">
              <w:rPr>
                <w:color w:val="000000"/>
                <w:szCs w:val="24"/>
              </w:rPr>
              <w:t>State Payroll Ops</w:t>
            </w:r>
            <w:r w:rsidR="00D43178" w:rsidRPr="00D43178">
              <w:rPr>
                <w:color w:val="000000"/>
                <w:szCs w:val="24"/>
              </w:rPr>
              <w:t xml:space="preserve"> cannot override that feature.</w:t>
            </w:r>
            <w:r w:rsidRPr="00D43178">
              <w:rPr>
                <w:color w:val="000000"/>
                <w:szCs w:val="24"/>
              </w:rPr>
              <w:t xml:space="preserve">  If the employee needs to access their payroll information during th</w:t>
            </w:r>
            <w:r w:rsidR="004D2D94">
              <w:rPr>
                <w:color w:val="000000"/>
                <w:szCs w:val="24"/>
              </w:rPr>
              <w:t>e</w:t>
            </w:r>
            <w:r w:rsidRPr="00D43178">
              <w:rPr>
                <w:color w:val="000000"/>
                <w:szCs w:val="24"/>
              </w:rPr>
              <w:t xml:space="preserve"> waiting period</w:t>
            </w:r>
            <w:r w:rsidR="00731667">
              <w:rPr>
                <w:color w:val="000000"/>
                <w:szCs w:val="24"/>
              </w:rPr>
              <w:t>,</w:t>
            </w:r>
            <w:r w:rsidRPr="00D43178">
              <w:rPr>
                <w:color w:val="000000"/>
                <w:szCs w:val="24"/>
              </w:rPr>
              <w:t xml:space="preserve"> </w:t>
            </w:r>
            <w:r w:rsidR="004D2D94">
              <w:rPr>
                <w:color w:val="000000"/>
                <w:szCs w:val="24"/>
              </w:rPr>
              <w:t xml:space="preserve">they </w:t>
            </w:r>
            <w:proofErr w:type="gramStart"/>
            <w:r w:rsidR="004D2D94">
              <w:rPr>
                <w:color w:val="000000"/>
                <w:szCs w:val="24"/>
              </w:rPr>
              <w:t>will be referred</w:t>
            </w:r>
            <w:proofErr w:type="gramEnd"/>
            <w:r w:rsidR="004D2D94">
              <w:rPr>
                <w:color w:val="000000"/>
                <w:szCs w:val="24"/>
              </w:rPr>
              <w:t xml:space="preserve"> </w:t>
            </w:r>
            <w:r w:rsidRPr="00D43178">
              <w:rPr>
                <w:color w:val="000000"/>
                <w:szCs w:val="24"/>
              </w:rPr>
              <w:t>to the</w:t>
            </w:r>
            <w:r w:rsidR="004D2D94">
              <w:rPr>
                <w:color w:val="000000"/>
                <w:szCs w:val="24"/>
              </w:rPr>
              <w:t xml:space="preserve"> agency </w:t>
            </w:r>
            <w:r w:rsidRPr="00D43178">
              <w:rPr>
                <w:color w:val="000000"/>
                <w:szCs w:val="24"/>
              </w:rPr>
              <w:t>Payline contacts.</w:t>
            </w:r>
          </w:p>
        </w:tc>
      </w:tr>
    </w:tbl>
    <w:p w14:paraId="0A3E1DD7" w14:textId="77777777" w:rsidR="00F77F69" w:rsidRDefault="00F77F69" w:rsidP="00F77F69">
      <w:pPr>
        <w:pStyle w:val="BlockLine"/>
        <w:ind w:left="1350"/>
        <w:rPr>
          <w:sz w:val="16"/>
          <w:szCs w:val="16"/>
        </w:rPr>
      </w:pPr>
    </w:p>
    <w:p w14:paraId="747035A9" w14:textId="289168B1" w:rsidR="006400B5" w:rsidRDefault="008C545B" w:rsidP="006400B5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H0BB1 Screen Update</w:t>
      </w:r>
    </w:p>
    <w:p w14:paraId="0FC79965" w14:textId="77777777" w:rsidR="006400B5" w:rsidRDefault="006400B5" w:rsidP="006400B5">
      <w:pPr>
        <w:pStyle w:val="BlockLine"/>
        <w:ind w:left="1350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38"/>
        <w:gridCol w:w="9162"/>
      </w:tblGrid>
      <w:tr w:rsidR="006400B5" w14:paraId="01021226" w14:textId="77777777" w:rsidTr="00EB6028">
        <w:trPr>
          <w:cantSplit/>
          <w:trHeight w:val="2345"/>
        </w:trPr>
        <w:tc>
          <w:tcPr>
            <w:tcW w:w="1638" w:type="dxa"/>
          </w:tcPr>
          <w:p w14:paraId="77547B0D" w14:textId="22260B00" w:rsidR="006400B5" w:rsidRPr="00AD0F5A" w:rsidRDefault="008C545B" w:rsidP="00EB6028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New Fatal Message</w:t>
            </w:r>
          </w:p>
        </w:tc>
        <w:tc>
          <w:tcPr>
            <w:tcW w:w="9162" w:type="dxa"/>
          </w:tcPr>
          <w:p w14:paraId="56F7B9F9" w14:textId="096D147D" w:rsidR="006400B5" w:rsidRDefault="00030D41" w:rsidP="008C545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 new fatal message prevent</w:t>
            </w:r>
            <w:r w:rsidR="00731667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 xml:space="preserve"> u</w:t>
            </w:r>
            <w:r w:rsidR="008C545B">
              <w:rPr>
                <w:color w:val="000000"/>
                <w:szCs w:val="24"/>
              </w:rPr>
              <w:t xml:space="preserve">sers </w:t>
            </w:r>
            <w:r>
              <w:rPr>
                <w:color w:val="000000"/>
                <w:szCs w:val="24"/>
              </w:rPr>
              <w:t xml:space="preserve">from removing </w:t>
            </w:r>
            <w:r w:rsidR="008C545B">
              <w:rPr>
                <w:color w:val="000000"/>
                <w:szCs w:val="24"/>
              </w:rPr>
              <w:t>the routing numbers</w:t>
            </w:r>
            <w:r w:rsidR="00731667">
              <w:rPr>
                <w:color w:val="000000"/>
                <w:szCs w:val="24"/>
              </w:rPr>
              <w:t xml:space="preserve"> and </w:t>
            </w:r>
            <w:r w:rsidR="008C545B">
              <w:rPr>
                <w:color w:val="000000"/>
                <w:szCs w:val="24"/>
              </w:rPr>
              <w:t xml:space="preserve">account numbers on H0BB1 </w:t>
            </w:r>
            <w:r w:rsidR="00731667">
              <w:rPr>
                <w:color w:val="000000"/>
                <w:szCs w:val="24"/>
              </w:rPr>
              <w:t>if</w:t>
            </w:r>
            <w:r w:rsidR="008C545B">
              <w:rPr>
                <w:color w:val="000000"/>
                <w:szCs w:val="24"/>
              </w:rPr>
              <w:t xml:space="preserve"> connected to an active direct deposit deduction on H0ZDC.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4BA4DDCD" w14:textId="7A0D98C5" w:rsidR="008C545B" w:rsidRPr="00933AB3" w:rsidRDefault="008C545B" w:rsidP="008C54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840058F" w14:textId="77777777" w:rsidR="007830D2" w:rsidRDefault="006652FD" w:rsidP="008C545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Before </w:t>
            </w:r>
            <w:r w:rsidR="008C545B">
              <w:rPr>
                <w:color w:val="000000"/>
                <w:szCs w:val="24"/>
              </w:rPr>
              <w:t>remov</w:t>
            </w:r>
            <w:r>
              <w:rPr>
                <w:color w:val="000000"/>
                <w:szCs w:val="24"/>
              </w:rPr>
              <w:t>ing</w:t>
            </w:r>
            <w:r w:rsidR="008C545B">
              <w:rPr>
                <w:color w:val="000000"/>
                <w:szCs w:val="24"/>
              </w:rPr>
              <w:t xml:space="preserve"> the old or inactive accounts on H0BB1, users must make the associated deduction on H0ZDC inactive.  CIPPS will consider the associated bank deduction inactive if the frequency is “00” </w:t>
            </w:r>
            <w:r w:rsidR="008C545B" w:rsidRPr="00E07682">
              <w:rPr>
                <w:b/>
                <w:color w:val="000000"/>
                <w:szCs w:val="24"/>
              </w:rPr>
              <w:t>AND</w:t>
            </w:r>
            <w:r w:rsidR="008C545B">
              <w:rPr>
                <w:color w:val="000000"/>
                <w:szCs w:val="24"/>
              </w:rPr>
              <w:t xml:space="preserve"> the utility </w:t>
            </w:r>
            <w:r>
              <w:rPr>
                <w:color w:val="000000"/>
                <w:szCs w:val="24"/>
              </w:rPr>
              <w:t>field</w:t>
            </w:r>
            <w:r w:rsidR="008C545B">
              <w:rPr>
                <w:color w:val="000000"/>
                <w:szCs w:val="24"/>
              </w:rPr>
              <w:t xml:space="preserve"> is set to all zeros.  </w:t>
            </w:r>
          </w:p>
          <w:p w14:paraId="7E9AE719" w14:textId="77777777" w:rsidR="007830D2" w:rsidRPr="00933AB3" w:rsidRDefault="007830D2" w:rsidP="008C54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256740D" w14:textId="5F2A00BD" w:rsidR="00030D41" w:rsidRDefault="00030D41" w:rsidP="008C545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The VACU Loan </w:t>
            </w:r>
            <w:r w:rsidR="008A568D">
              <w:rPr>
                <w:color w:val="000000"/>
                <w:szCs w:val="24"/>
              </w:rPr>
              <w:t>(</w:t>
            </w:r>
            <w:proofErr w:type="spellStart"/>
            <w:r w:rsidR="008A568D">
              <w:rPr>
                <w:color w:val="000000"/>
                <w:szCs w:val="24"/>
              </w:rPr>
              <w:t>Ded</w:t>
            </w:r>
            <w:proofErr w:type="spellEnd"/>
            <w:r w:rsidR="008A568D">
              <w:rPr>
                <w:color w:val="000000"/>
                <w:szCs w:val="24"/>
              </w:rPr>
              <w:t xml:space="preserve"> #158) </w:t>
            </w:r>
            <w:r w:rsidR="007830D2">
              <w:rPr>
                <w:color w:val="000000"/>
                <w:szCs w:val="24"/>
              </w:rPr>
              <w:t xml:space="preserve">uses a decrementing goal </w:t>
            </w:r>
            <w:r w:rsidR="008A568D">
              <w:rPr>
                <w:color w:val="000000"/>
                <w:szCs w:val="24"/>
              </w:rPr>
              <w:t>that</w:t>
            </w:r>
            <w:r w:rsidR="007830D2">
              <w:rPr>
                <w:color w:val="000000"/>
                <w:szCs w:val="24"/>
              </w:rPr>
              <w:t xml:space="preserve"> </w:t>
            </w:r>
            <w:r w:rsidR="008A568D">
              <w:rPr>
                <w:color w:val="000000"/>
                <w:szCs w:val="24"/>
              </w:rPr>
              <w:t>automatically changes the frequency to “00”</w:t>
            </w:r>
            <w:r w:rsidR="007830D2">
              <w:rPr>
                <w:color w:val="000000"/>
                <w:szCs w:val="24"/>
              </w:rPr>
              <w:t xml:space="preserve"> when the goal amount reaches $0</w:t>
            </w:r>
            <w:r w:rsidR="008A568D">
              <w:rPr>
                <w:color w:val="000000"/>
                <w:szCs w:val="24"/>
              </w:rPr>
              <w:t xml:space="preserve">.  If the loan </w:t>
            </w:r>
            <w:proofErr w:type="gramStart"/>
            <w:r w:rsidR="008A568D">
              <w:rPr>
                <w:color w:val="000000"/>
                <w:szCs w:val="24"/>
              </w:rPr>
              <w:t>is paid</w:t>
            </w:r>
            <w:proofErr w:type="gramEnd"/>
            <w:r w:rsidR="008A568D">
              <w:rPr>
                <w:color w:val="000000"/>
                <w:szCs w:val="24"/>
              </w:rPr>
              <w:t xml:space="preserve"> </w:t>
            </w:r>
            <w:r w:rsidR="00DD45AF">
              <w:rPr>
                <w:color w:val="000000"/>
                <w:szCs w:val="24"/>
              </w:rPr>
              <w:t>outside of payroll</w:t>
            </w:r>
            <w:r w:rsidR="008A568D">
              <w:rPr>
                <w:color w:val="000000"/>
                <w:szCs w:val="24"/>
              </w:rPr>
              <w:t xml:space="preserve">, an outstanding goal amount </w:t>
            </w:r>
            <w:r w:rsidR="00731667">
              <w:rPr>
                <w:color w:val="000000"/>
                <w:szCs w:val="24"/>
              </w:rPr>
              <w:t>remains on H0ZDC</w:t>
            </w:r>
            <w:r w:rsidR="008A568D">
              <w:rPr>
                <w:color w:val="000000"/>
                <w:szCs w:val="24"/>
              </w:rPr>
              <w:t>.  Vendor protections do not allow users to clear the goal.  Enter .01 as the goal to turn the frequency to “00” a</w:t>
            </w:r>
            <w:r w:rsidR="00731667">
              <w:rPr>
                <w:color w:val="000000"/>
                <w:szCs w:val="24"/>
              </w:rPr>
              <w:t>nd set the utility to all zeros in these cases.</w:t>
            </w:r>
          </w:p>
          <w:p w14:paraId="7A3610F9" w14:textId="2FA1244E" w:rsidR="006652FD" w:rsidRPr="00933AB3" w:rsidRDefault="006652FD" w:rsidP="008C545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0CB5CDD" w14:textId="616BEC82" w:rsidR="00030D41" w:rsidRDefault="006652FD" w:rsidP="007830D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Keeping old accounts increases the risk of sending funds to a closed or invalid account, thereby causing </w:t>
            </w:r>
            <w:r w:rsidR="00DD45AF">
              <w:rPr>
                <w:color w:val="000000"/>
                <w:szCs w:val="24"/>
              </w:rPr>
              <w:t>missed employee deposits</w:t>
            </w:r>
            <w:r>
              <w:rPr>
                <w:color w:val="000000"/>
                <w:szCs w:val="24"/>
              </w:rPr>
              <w:t xml:space="preserve"> on payday.   </w:t>
            </w:r>
            <w:r w:rsidR="00DD45AF">
              <w:rPr>
                <w:color w:val="000000"/>
                <w:szCs w:val="24"/>
              </w:rPr>
              <w:t>Please</w:t>
            </w:r>
            <w:r>
              <w:rPr>
                <w:color w:val="000000"/>
                <w:szCs w:val="24"/>
              </w:rPr>
              <w:t xml:space="preserve"> remove any account information on H0BB1 that is no longer active.</w:t>
            </w:r>
            <w:r w:rsidR="00030D41">
              <w:rPr>
                <w:color w:val="000000"/>
                <w:szCs w:val="24"/>
              </w:rPr>
              <w:t xml:space="preserve">  Historical account information is available on Report 26 </w:t>
            </w:r>
            <w:r w:rsidR="00DD45AF">
              <w:rPr>
                <w:color w:val="000000"/>
                <w:szCs w:val="24"/>
              </w:rPr>
              <w:t xml:space="preserve">(Direct Deposit Transmission Report) </w:t>
            </w:r>
            <w:r w:rsidR="00030D41">
              <w:rPr>
                <w:color w:val="000000"/>
                <w:szCs w:val="24"/>
              </w:rPr>
              <w:t>and Report 1006</w:t>
            </w:r>
            <w:r w:rsidR="00DD45AF">
              <w:rPr>
                <w:color w:val="000000"/>
                <w:szCs w:val="24"/>
              </w:rPr>
              <w:t xml:space="preserve"> (Change Listing)</w:t>
            </w:r>
            <w:r w:rsidR="00030D41">
              <w:rPr>
                <w:color w:val="000000"/>
                <w:szCs w:val="24"/>
              </w:rPr>
              <w:t>.</w:t>
            </w:r>
          </w:p>
          <w:p w14:paraId="17F093CA" w14:textId="77777777" w:rsidR="00DD45AF" w:rsidRPr="00933AB3" w:rsidRDefault="00DD45AF" w:rsidP="007830D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00027C1" w14:textId="543A24B1" w:rsidR="00DD45AF" w:rsidRPr="00EC2F13" w:rsidRDefault="00DD45AF" w:rsidP="00EF10A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SPO receiv</w:t>
            </w:r>
            <w:r w:rsidR="00EF10AF">
              <w:rPr>
                <w:color w:val="000000"/>
                <w:szCs w:val="24"/>
              </w:rPr>
              <w:t>es daily notifications from SunT</w:t>
            </w:r>
            <w:r>
              <w:rPr>
                <w:color w:val="000000"/>
                <w:szCs w:val="24"/>
              </w:rPr>
              <w:t xml:space="preserve">rust when funds </w:t>
            </w:r>
            <w:proofErr w:type="gramStart"/>
            <w:r>
              <w:rPr>
                <w:color w:val="000000"/>
                <w:szCs w:val="24"/>
              </w:rPr>
              <w:t>are returned</w:t>
            </w:r>
            <w:proofErr w:type="gramEnd"/>
            <w:r>
              <w:rPr>
                <w:color w:val="000000"/>
                <w:szCs w:val="24"/>
              </w:rPr>
              <w:t xml:space="preserve"> for closed or invalid account information.  </w:t>
            </w:r>
            <w:proofErr w:type="gramStart"/>
            <w:r w:rsidR="00EF10AF">
              <w:rPr>
                <w:color w:val="000000"/>
                <w:szCs w:val="24"/>
              </w:rPr>
              <w:t>I</w:t>
            </w:r>
            <w:r w:rsidR="00731667">
              <w:rPr>
                <w:color w:val="000000"/>
                <w:szCs w:val="24"/>
              </w:rPr>
              <w:t>nvalid bank account</w:t>
            </w:r>
            <w:r w:rsidR="00EF10AF">
              <w:rPr>
                <w:color w:val="000000"/>
                <w:szCs w:val="24"/>
              </w:rPr>
              <w:t xml:space="preserve"> numbers will be deleted from H0BB1 by State Payroll Ops</w:t>
            </w:r>
            <w:proofErr w:type="gramEnd"/>
            <w:r w:rsidR="00EF10AF">
              <w:rPr>
                <w:color w:val="000000"/>
                <w:szCs w:val="24"/>
              </w:rPr>
              <w:t xml:space="preserve">.  </w:t>
            </w:r>
            <w:r w:rsidR="00731667">
              <w:rPr>
                <w:color w:val="000000"/>
                <w:szCs w:val="24"/>
              </w:rPr>
              <w:t xml:space="preserve">In these cases, </w:t>
            </w:r>
            <w:r>
              <w:rPr>
                <w:color w:val="000000"/>
                <w:szCs w:val="24"/>
              </w:rPr>
              <w:t xml:space="preserve">Report 1006 </w:t>
            </w:r>
            <w:r w:rsidR="00731667">
              <w:rPr>
                <w:color w:val="000000"/>
                <w:szCs w:val="24"/>
              </w:rPr>
              <w:t xml:space="preserve">will show that </w:t>
            </w:r>
            <w:r>
              <w:rPr>
                <w:color w:val="000000"/>
                <w:szCs w:val="24"/>
              </w:rPr>
              <w:t xml:space="preserve">a SPO representative has de-activated </w:t>
            </w:r>
            <w:r w:rsidR="00731667">
              <w:rPr>
                <w:color w:val="000000"/>
                <w:szCs w:val="24"/>
              </w:rPr>
              <w:t xml:space="preserve">the deduction </w:t>
            </w:r>
            <w:r>
              <w:rPr>
                <w:color w:val="000000"/>
                <w:szCs w:val="24"/>
              </w:rPr>
              <w:t>AND cleared any associated accounts on H0BB1.</w:t>
            </w:r>
          </w:p>
        </w:tc>
      </w:tr>
    </w:tbl>
    <w:p w14:paraId="73C7BC11" w14:textId="00A4D132" w:rsidR="00005CAD" w:rsidRDefault="00005CAD" w:rsidP="00005CAD"/>
    <w:p w14:paraId="40C12176" w14:textId="15E8FEA2" w:rsidR="00660BBD" w:rsidRDefault="00945307" w:rsidP="00660BBD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IRS Update – Moving and Relocation</w:t>
      </w:r>
    </w:p>
    <w:p w14:paraId="4C2D82C9" w14:textId="77777777" w:rsidR="00660BBD" w:rsidRDefault="00660BBD" w:rsidP="00660BBD">
      <w:pPr>
        <w:pStyle w:val="BlockLine"/>
        <w:ind w:left="1350"/>
        <w:rPr>
          <w:sz w:val="16"/>
          <w:szCs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638"/>
        <w:gridCol w:w="9162"/>
      </w:tblGrid>
      <w:tr w:rsidR="00660BBD" w14:paraId="7ABC0201" w14:textId="77777777" w:rsidTr="00A14686">
        <w:trPr>
          <w:cantSplit/>
          <w:trHeight w:val="2345"/>
        </w:trPr>
        <w:tc>
          <w:tcPr>
            <w:tcW w:w="1638" w:type="dxa"/>
          </w:tcPr>
          <w:p w14:paraId="08FF2779" w14:textId="31EFC0CA" w:rsidR="00660BBD" w:rsidRPr="00AD0F5A" w:rsidRDefault="00945307" w:rsidP="00A14686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IRS Update 9/21/18</w:t>
            </w:r>
          </w:p>
        </w:tc>
        <w:tc>
          <w:tcPr>
            <w:tcW w:w="9162" w:type="dxa"/>
          </w:tcPr>
          <w:p w14:paraId="5F659FBA" w14:textId="59AE3C66" w:rsidR="00660BBD" w:rsidRDefault="00945307" w:rsidP="0094530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On September 21, 2018, the IRS issued a </w:t>
            </w:r>
            <w:r w:rsidR="00A313DC">
              <w:rPr>
                <w:color w:val="000000"/>
                <w:szCs w:val="24"/>
              </w:rPr>
              <w:t>notice</w:t>
            </w:r>
            <w:r>
              <w:rPr>
                <w:color w:val="000000"/>
                <w:szCs w:val="24"/>
              </w:rPr>
              <w:t xml:space="preserve"> (IR-2018-190) that Moving and Relocation expenses incurred in 2017 but paid in 2018 are non-taxable under Notice 2018-75. </w:t>
            </w:r>
          </w:p>
          <w:p w14:paraId="288F2539" w14:textId="02B8B911" w:rsidR="0010626C" w:rsidRDefault="0010626C" w:rsidP="0094530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3A08178" w14:textId="282087CA" w:rsidR="0010626C" w:rsidRDefault="0099640F" w:rsidP="0094530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1" w:history="1">
              <w:r w:rsidR="0010626C" w:rsidRPr="00AE7F11">
                <w:rPr>
                  <w:rStyle w:val="Hyperlink"/>
                  <w:szCs w:val="24"/>
                </w:rPr>
                <w:t>https://www.irs.gov/newsroom/irs-2018-employer-reimbursements-for-employees-2017-moves-are-generally-tax-free</w:t>
              </w:r>
            </w:hyperlink>
          </w:p>
          <w:p w14:paraId="460067BD" w14:textId="14B33B56" w:rsidR="0010626C" w:rsidRDefault="0010626C" w:rsidP="0094530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1E9F25F" w14:textId="05FC6488" w:rsidR="00945307" w:rsidRDefault="0099640F" w:rsidP="0094530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n adjustment is necessary to correct the 2018 taxable fields</w:t>
            </w:r>
            <w:r>
              <w:rPr>
                <w:color w:val="000000"/>
                <w:szCs w:val="24"/>
              </w:rPr>
              <w:t xml:space="preserve"> i</w:t>
            </w:r>
            <w:r w:rsidR="00945307">
              <w:rPr>
                <w:color w:val="000000"/>
                <w:szCs w:val="24"/>
              </w:rPr>
              <w:t xml:space="preserve">f you paid an employee </w:t>
            </w:r>
            <w:r>
              <w:rPr>
                <w:color w:val="000000"/>
                <w:szCs w:val="24"/>
              </w:rPr>
              <w:t>using Special Pay 04 (Moving and Relocation Taxable)</w:t>
            </w:r>
            <w:r>
              <w:rPr>
                <w:color w:val="000000"/>
                <w:szCs w:val="24"/>
              </w:rPr>
              <w:t xml:space="preserve"> </w:t>
            </w:r>
            <w:r w:rsidR="00945307">
              <w:rPr>
                <w:color w:val="000000"/>
                <w:szCs w:val="24"/>
              </w:rPr>
              <w:t>for Moving and Relocation expenses incurred in 2017</w:t>
            </w:r>
            <w:r>
              <w:rPr>
                <w:color w:val="000000"/>
                <w:szCs w:val="24"/>
              </w:rPr>
              <w:t>.</w:t>
            </w:r>
            <w:r w:rsidR="00945307">
              <w:rPr>
                <w:color w:val="000000"/>
                <w:szCs w:val="24"/>
              </w:rPr>
              <w:t xml:space="preserve"> </w:t>
            </w:r>
          </w:p>
          <w:p w14:paraId="492397D5" w14:textId="77777777" w:rsidR="0010626C" w:rsidRDefault="0010626C" w:rsidP="0094530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EDF61EA" w14:textId="6897B3DE" w:rsidR="0010626C" w:rsidRPr="00EC2F13" w:rsidRDefault="0010626C" w:rsidP="0094530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Please send an email to </w:t>
            </w:r>
            <w:hyperlink r:id="rId12" w:history="1">
              <w:r w:rsidRPr="00AE7F11">
                <w:rPr>
                  <w:rStyle w:val="Hyperlink"/>
                  <w:szCs w:val="24"/>
                </w:rPr>
                <w:t>payroll@doa.virginia.gov</w:t>
              </w:r>
            </w:hyperlink>
            <w:r>
              <w:rPr>
                <w:color w:val="000000"/>
                <w:szCs w:val="24"/>
              </w:rPr>
              <w:t xml:space="preserve"> to receive instructions on how to re-classify these expenses.</w:t>
            </w:r>
          </w:p>
        </w:tc>
      </w:tr>
    </w:tbl>
    <w:p w14:paraId="0DBE846A" w14:textId="77777777" w:rsidR="0099640F" w:rsidRDefault="0099640F" w:rsidP="0099640F">
      <w:pPr>
        <w:pStyle w:val="BlockLine"/>
        <w:ind w:left="1350"/>
        <w:rPr>
          <w:sz w:val="16"/>
          <w:szCs w:val="16"/>
        </w:rPr>
      </w:pPr>
    </w:p>
    <w:p w14:paraId="19A5E2D1" w14:textId="77777777" w:rsidR="00660BBD" w:rsidRDefault="00660BBD" w:rsidP="00660BBD"/>
    <w:p w14:paraId="4DFA1E31" w14:textId="77777777" w:rsidR="00660BBD" w:rsidRDefault="00660BBD" w:rsidP="00005CAD">
      <w:bookmarkStart w:id="0" w:name="_GoBack"/>
      <w:bookmarkEnd w:id="0"/>
    </w:p>
    <w:sectPr w:rsidR="00660BBD" w:rsidSect="00005CAD">
      <w:headerReference w:type="default" r:id="rId13"/>
      <w:footerReference w:type="default" r:id="rId14"/>
      <w:pgSz w:w="12240" w:h="15840" w:code="1"/>
      <w:pgMar w:top="994" w:right="720" w:bottom="450" w:left="720" w:header="432" w:footer="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4874" w14:textId="77777777" w:rsidR="00316A4D" w:rsidRDefault="00316A4D" w:rsidP="007C617C">
      <w:pPr>
        <w:pStyle w:val="TableText"/>
      </w:pPr>
      <w:r>
        <w:separator/>
      </w:r>
    </w:p>
  </w:endnote>
  <w:endnote w:type="continuationSeparator" w:id="0">
    <w:p w14:paraId="31485954" w14:textId="77777777" w:rsidR="00316A4D" w:rsidRDefault="00316A4D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2D58" w14:textId="2A2565B6"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rStyle w:val="PageNumber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640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64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3B4B6F" w14:textId="77777777" w:rsidR="009D3C2C" w:rsidRDefault="009D3C2C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</w:p>
  <w:p w14:paraId="06C99939" w14:textId="77777777" w:rsidR="00FB560F" w:rsidRPr="009F7AFD" w:rsidRDefault="0099640F" w:rsidP="009D3C2C">
    <w:pPr>
      <w:pStyle w:val="NormalWeb"/>
      <w:jc w:val="center"/>
      <w:rPr>
        <w:snapToGrid w:val="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14:paraId="7F07E683" w14:textId="77777777"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0E2BE" w14:textId="77777777" w:rsidR="00316A4D" w:rsidRDefault="00316A4D" w:rsidP="007C617C">
      <w:pPr>
        <w:pStyle w:val="TableText"/>
      </w:pPr>
      <w:r>
        <w:separator/>
      </w:r>
    </w:p>
  </w:footnote>
  <w:footnote w:type="continuationSeparator" w:id="0">
    <w:p w14:paraId="2D90D1B9" w14:textId="77777777" w:rsidR="00316A4D" w:rsidRDefault="00316A4D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96CD" w14:textId="45592832" w:rsidR="00FB560F" w:rsidRDefault="00FB560F" w:rsidP="00014BAC">
    <w:pPr>
      <w:pStyle w:val="Head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14:paraId="1BEBFE9A" w14:textId="77777777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14:paraId="7A4916C1" w14:textId="5571CDB2" w:rsidR="00FB560F" w:rsidRDefault="00FB560F" w:rsidP="00FB560F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7524CD">
            <w:rPr>
              <w:b/>
              <w:sz w:val="20"/>
            </w:rPr>
            <w:t>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60FAD39C" w14:textId="0FD63FBA" w:rsidR="00FB560F" w:rsidRDefault="00660BBD" w:rsidP="0059737C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September 25</w:t>
          </w:r>
          <w:r w:rsidR="007524CD">
            <w:rPr>
              <w:b/>
              <w:sz w:val="20"/>
            </w:rPr>
            <w:t>, 2018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1194FE49" w14:textId="3440710C" w:rsidR="00FB560F" w:rsidRDefault="007524CD" w:rsidP="0059737C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2018-</w:t>
          </w:r>
          <w:r w:rsidR="00660BBD">
            <w:rPr>
              <w:b/>
              <w:sz w:val="20"/>
            </w:rPr>
            <w:t>12</w:t>
          </w:r>
        </w:p>
      </w:tc>
    </w:tr>
  </w:tbl>
  <w:p w14:paraId="479329BE" w14:textId="77777777"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EF05FB8"/>
    <w:multiLevelType w:val="hybridMultilevel"/>
    <w:tmpl w:val="E0C6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 w15:restartNumberingAfterBreak="0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4"/>
    <w:rsid w:val="000009B2"/>
    <w:rsid w:val="000013D1"/>
    <w:rsid w:val="00004CD3"/>
    <w:rsid w:val="00004DB9"/>
    <w:rsid w:val="00005CAD"/>
    <w:rsid w:val="000061FB"/>
    <w:rsid w:val="0001012E"/>
    <w:rsid w:val="000119A4"/>
    <w:rsid w:val="000121C0"/>
    <w:rsid w:val="00013C03"/>
    <w:rsid w:val="00014BAC"/>
    <w:rsid w:val="000154AE"/>
    <w:rsid w:val="00016EE3"/>
    <w:rsid w:val="0001760B"/>
    <w:rsid w:val="00024A4F"/>
    <w:rsid w:val="00024E2C"/>
    <w:rsid w:val="00030D41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6661"/>
    <w:rsid w:val="0005668B"/>
    <w:rsid w:val="000575E6"/>
    <w:rsid w:val="00062288"/>
    <w:rsid w:val="00070655"/>
    <w:rsid w:val="000736C4"/>
    <w:rsid w:val="00073D12"/>
    <w:rsid w:val="00074937"/>
    <w:rsid w:val="0007613B"/>
    <w:rsid w:val="00076F0B"/>
    <w:rsid w:val="00082869"/>
    <w:rsid w:val="0008335C"/>
    <w:rsid w:val="00085CDF"/>
    <w:rsid w:val="00086DA9"/>
    <w:rsid w:val="00086DEB"/>
    <w:rsid w:val="00087B54"/>
    <w:rsid w:val="00087E1C"/>
    <w:rsid w:val="00094305"/>
    <w:rsid w:val="000961E6"/>
    <w:rsid w:val="00096777"/>
    <w:rsid w:val="000A0E6F"/>
    <w:rsid w:val="000A1B5C"/>
    <w:rsid w:val="000A425E"/>
    <w:rsid w:val="000A5008"/>
    <w:rsid w:val="000A7A20"/>
    <w:rsid w:val="000B0BE5"/>
    <w:rsid w:val="000B3A75"/>
    <w:rsid w:val="000B46F3"/>
    <w:rsid w:val="000B705E"/>
    <w:rsid w:val="000C1CD3"/>
    <w:rsid w:val="000C2299"/>
    <w:rsid w:val="000C44E0"/>
    <w:rsid w:val="000C62B0"/>
    <w:rsid w:val="000C67E6"/>
    <w:rsid w:val="000C6C5E"/>
    <w:rsid w:val="000C7D97"/>
    <w:rsid w:val="000D1733"/>
    <w:rsid w:val="000D2A08"/>
    <w:rsid w:val="000D2CE5"/>
    <w:rsid w:val="000D3410"/>
    <w:rsid w:val="000D3694"/>
    <w:rsid w:val="000D4600"/>
    <w:rsid w:val="000D666D"/>
    <w:rsid w:val="000E1330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010BF"/>
    <w:rsid w:val="00104DF4"/>
    <w:rsid w:val="0010626C"/>
    <w:rsid w:val="00115C5B"/>
    <w:rsid w:val="00117B7F"/>
    <w:rsid w:val="00121380"/>
    <w:rsid w:val="0012199B"/>
    <w:rsid w:val="001219C0"/>
    <w:rsid w:val="00123E43"/>
    <w:rsid w:val="001250AB"/>
    <w:rsid w:val="001250BA"/>
    <w:rsid w:val="00131DF6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56F49"/>
    <w:rsid w:val="00162130"/>
    <w:rsid w:val="0016577E"/>
    <w:rsid w:val="001661AD"/>
    <w:rsid w:val="001664BB"/>
    <w:rsid w:val="00166AE2"/>
    <w:rsid w:val="00170319"/>
    <w:rsid w:val="00170449"/>
    <w:rsid w:val="00170DE6"/>
    <w:rsid w:val="001711AD"/>
    <w:rsid w:val="00172018"/>
    <w:rsid w:val="00173D28"/>
    <w:rsid w:val="001758B4"/>
    <w:rsid w:val="00177CAF"/>
    <w:rsid w:val="00177D26"/>
    <w:rsid w:val="0018004A"/>
    <w:rsid w:val="00180B5E"/>
    <w:rsid w:val="0018670A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579A"/>
    <w:rsid w:val="001C63B7"/>
    <w:rsid w:val="001D10CC"/>
    <w:rsid w:val="001D13F4"/>
    <w:rsid w:val="001D3036"/>
    <w:rsid w:val="001D4288"/>
    <w:rsid w:val="001D50E1"/>
    <w:rsid w:val="001D51E9"/>
    <w:rsid w:val="001D5D8F"/>
    <w:rsid w:val="001D664C"/>
    <w:rsid w:val="001D7553"/>
    <w:rsid w:val="001E1CD9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58EC"/>
    <w:rsid w:val="00200C55"/>
    <w:rsid w:val="00201D45"/>
    <w:rsid w:val="00203860"/>
    <w:rsid w:val="00205008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29B7"/>
    <w:rsid w:val="0022353A"/>
    <w:rsid w:val="00224527"/>
    <w:rsid w:val="002276C7"/>
    <w:rsid w:val="00230A49"/>
    <w:rsid w:val="00233935"/>
    <w:rsid w:val="00240A2E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5630E"/>
    <w:rsid w:val="002616D8"/>
    <w:rsid w:val="00261A9F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C0D88"/>
    <w:rsid w:val="002C1B54"/>
    <w:rsid w:val="002C2601"/>
    <w:rsid w:val="002C3A91"/>
    <w:rsid w:val="002C3D9D"/>
    <w:rsid w:val="002D1662"/>
    <w:rsid w:val="002D2DAB"/>
    <w:rsid w:val="002D46F7"/>
    <w:rsid w:val="002D5501"/>
    <w:rsid w:val="002D6045"/>
    <w:rsid w:val="002D742F"/>
    <w:rsid w:val="002E1208"/>
    <w:rsid w:val="002E1385"/>
    <w:rsid w:val="002F01F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AE0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F86"/>
    <w:rsid w:val="003362EF"/>
    <w:rsid w:val="00336C30"/>
    <w:rsid w:val="00341F6F"/>
    <w:rsid w:val="00342463"/>
    <w:rsid w:val="0034691C"/>
    <w:rsid w:val="003530CA"/>
    <w:rsid w:val="0035312D"/>
    <w:rsid w:val="00353733"/>
    <w:rsid w:val="00353940"/>
    <w:rsid w:val="00354876"/>
    <w:rsid w:val="00357860"/>
    <w:rsid w:val="0036354A"/>
    <w:rsid w:val="0036539D"/>
    <w:rsid w:val="00365D95"/>
    <w:rsid w:val="00366919"/>
    <w:rsid w:val="00366A23"/>
    <w:rsid w:val="00367AD1"/>
    <w:rsid w:val="00370336"/>
    <w:rsid w:val="0037142A"/>
    <w:rsid w:val="00372196"/>
    <w:rsid w:val="00375835"/>
    <w:rsid w:val="00380089"/>
    <w:rsid w:val="00383B20"/>
    <w:rsid w:val="003878BE"/>
    <w:rsid w:val="00390379"/>
    <w:rsid w:val="00393AD1"/>
    <w:rsid w:val="00393CAB"/>
    <w:rsid w:val="00394137"/>
    <w:rsid w:val="003960F4"/>
    <w:rsid w:val="003975ED"/>
    <w:rsid w:val="003A126C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E65"/>
    <w:rsid w:val="003F3609"/>
    <w:rsid w:val="00407DEF"/>
    <w:rsid w:val="0041050B"/>
    <w:rsid w:val="004107DA"/>
    <w:rsid w:val="00410D89"/>
    <w:rsid w:val="004145C7"/>
    <w:rsid w:val="004154A2"/>
    <w:rsid w:val="004242F6"/>
    <w:rsid w:val="004247E2"/>
    <w:rsid w:val="00425258"/>
    <w:rsid w:val="00426172"/>
    <w:rsid w:val="00430294"/>
    <w:rsid w:val="00432588"/>
    <w:rsid w:val="00432EEF"/>
    <w:rsid w:val="004334F0"/>
    <w:rsid w:val="00435038"/>
    <w:rsid w:val="00436684"/>
    <w:rsid w:val="004409C1"/>
    <w:rsid w:val="00444845"/>
    <w:rsid w:val="00446BBA"/>
    <w:rsid w:val="00447811"/>
    <w:rsid w:val="004507EB"/>
    <w:rsid w:val="00451553"/>
    <w:rsid w:val="00451F56"/>
    <w:rsid w:val="00451F9A"/>
    <w:rsid w:val="00452D65"/>
    <w:rsid w:val="00454635"/>
    <w:rsid w:val="00455D62"/>
    <w:rsid w:val="00455DC9"/>
    <w:rsid w:val="00456CD8"/>
    <w:rsid w:val="00456F7A"/>
    <w:rsid w:val="00457169"/>
    <w:rsid w:val="00463F34"/>
    <w:rsid w:val="0046402E"/>
    <w:rsid w:val="00466FB2"/>
    <w:rsid w:val="0047065E"/>
    <w:rsid w:val="00470A8B"/>
    <w:rsid w:val="00472253"/>
    <w:rsid w:val="00480977"/>
    <w:rsid w:val="0048151B"/>
    <w:rsid w:val="00481C94"/>
    <w:rsid w:val="00483721"/>
    <w:rsid w:val="004917B8"/>
    <w:rsid w:val="00492FFC"/>
    <w:rsid w:val="00493E53"/>
    <w:rsid w:val="004A1066"/>
    <w:rsid w:val="004A669F"/>
    <w:rsid w:val="004A7040"/>
    <w:rsid w:val="004B3078"/>
    <w:rsid w:val="004B44C6"/>
    <w:rsid w:val="004B4F4D"/>
    <w:rsid w:val="004B582A"/>
    <w:rsid w:val="004C0BE5"/>
    <w:rsid w:val="004C4173"/>
    <w:rsid w:val="004C5133"/>
    <w:rsid w:val="004C52E0"/>
    <w:rsid w:val="004C7604"/>
    <w:rsid w:val="004D0CDD"/>
    <w:rsid w:val="004D29A5"/>
    <w:rsid w:val="004D2D94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4F6C26"/>
    <w:rsid w:val="00500BF8"/>
    <w:rsid w:val="0050546B"/>
    <w:rsid w:val="00505570"/>
    <w:rsid w:val="00506503"/>
    <w:rsid w:val="00512FE1"/>
    <w:rsid w:val="005142FF"/>
    <w:rsid w:val="00517AEE"/>
    <w:rsid w:val="00524A2D"/>
    <w:rsid w:val="00525773"/>
    <w:rsid w:val="00526582"/>
    <w:rsid w:val="00532965"/>
    <w:rsid w:val="005348E2"/>
    <w:rsid w:val="00534AC1"/>
    <w:rsid w:val="005365BC"/>
    <w:rsid w:val="0053746B"/>
    <w:rsid w:val="0054034D"/>
    <w:rsid w:val="005411B7"/>
    <w:rsid w:val="00543BEF"/>
    <w:rsid w:val="00544C63"/>
    <w:rsid w:val="00554308"/>
    <w:rsid w:val="00554FB2"/>
    <w:rsid w:val="005563FD"/>
    <w:rsid w:val="005569F0"/>
    <w:rsid w:val="0056209F"/>
    <w:rsid w:val="005654ED"/>
    <w:rsid w:val="00566BC7"/>
    <w:rsid w:val="00573CEC"/>
    <w:rsid w:val="00575E04"/>
    <w:rsid w:val="005762DB"/>
    <w:rsid w:val="00577D17"/>
    <w:rsid w:val="00580D3C"/>
    <w:rsid w:val="00583101"/>
    <w:rsid w:val="00583B6D"/>
    <w:rsid w:val="00583C5C"/>
    <w:rsid w:val="005926A0"/>
    <w:rsid w:val="00592926"/>
    <w:rsid w:val="005949A7"/>
    <w:rsid w:val="0059592A"/>
    <w:rsid w:val="0059737C"/>
    <w:rsid w:val="0059785E"/>
    <w:rsid w:val="005A3BAB"/>
    <w:rsid w:val="005A4D57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7235"/>
    <w:rsid w:val="005C06FB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F55"/>
    <w:rsid w:val="006060E3"/>
    <w:rsid w:val="00606AA5"/>
    <w:rsid w:val="006070FB"/>
    <w:rsid w:val="00607472"/>
    <w:rsid w:val="00607A94"/>
    <w:rsid w:val="00622B95"/>
    <w:rsid w:val="0062309A"/>
    <w:rsid w:val="00623308"/>
    <w:rsid w:val="00625931"/>
    <w:rsid w:val="0062680C"/>
    <w:rsid w:val="00627406"/>
    <w:rsid w:val="00633F5D"/>
    <w:rsid w:val="00636EB9"/>
    <w:rsid w:val="006400B5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0BBD"/>
    <w:rsid w:val="00662DA4"/>
    <w:rsid w:val="00662DB8"/>
    <w:rsid w:val="006652FD"/>
    <w:rsid w:val="00665620"/>
    <w:rsid w:val="00665828"/>
    <w:rsid w:val="00670C54"/>
    <w:rsid w:val="00670C9F"/>
    <w:rsid w:val="006713EF"/>
    <w:rsid w:val="006717D5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6056"/>
    <w:rsid w:val="006E607C"/>
    <w:rsid w:val="006F1E29"/>
    <w:rsid w:val="006F2520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546B"/>
    <w:rsid w:val="00715AF0"/>
    <w:rsid w:val="00717561"/>
    <w:rsid w:val="00717BAD"/>
    <w:rsid w:val="00717C4F"/>
    <w:rsid w:val="0072052B"/>
    <w:rsid w:val="00724707"/>
    <w:rsid w:val="00724DD4"/>
    <w:rsid w:val="00727ECC"/>
    <w:rsid w:val="00727FE5"/>
    <w:rsid w:val="00730459"/>
    <w:rsid w:val="00730C32"/>
    <w:rsid w:val="00731667"/>
    <w:rsid w:val="007318F5"/>
    <w:rsid w:val="00731B7C"/>
    <w:rsid w:val="00734EA1"/>
    <w:rsid w:val="00735FB7"/>
    <w:rsid w:val="007362A9"/>
    <w:rsid w:val="00741CCB"/>
    <w:rsid w:val="00742F44"/>
    <w:rsid w:val="0074507F"/>
    <w:rsid w:val="00745760"/>
    <w:rsid w:val="00745CCB"/>
    <w:rsid w:val="00751578"/>
    <w:rsid w:val="00751DFE"/>
    <w:rsid w:val="007524CD"/>
    <w:rsid w:val="00752C5D"/>
    <w:rsid w:val="0075322A"/>
    <w:rsid w:val="007554A7"/>
    <w:rsid w:val="00756802"/>
    <w:rsid w:val="007642DD"/>
    <w:rsid w:val="007643AE"/>
    <w:rsid w:val="00766EA7"/>
    <w:rsid w:val="0077085D"/>
    <w:rsid w:val="00772164"/>
    <w:rsid w:val="00776BF8"/>
    <w:rsid w:val="00780A2B"/>
    <w:rsid w:val="00780A47"/>
    <w:rsid w:val="0078252D"/>
    <w:rsid w:val="00782A69"/>
    <w:rsid w:val="007830D2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4906"/>
    <w:rsid w:val="007B59C0"/>
    <w:rsid w:val="007B66D2"/>
    <w:rsid w:val="007C1FE8"/>
    <w:rsid w:val="007C3C23"/>
    <w:rsid w:val="007C4CAE"/>
    <w:rsid w:val="007C59FE"/>
    <w:rsid w:val="007C617C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E647C"/>
    <w:rsid w:val="007F01E6"/>
    <w:rsid w:val="007F03A7"/>
    <w:rsid w:val="007F18DE"/>
    <w:rsid w:val="007F391B"/>
    <w:rsid w:val="007F4407"/>
    <w:rsid w:val="007F537D"/>
    <w:rsid w:val="008021E4"/>
    <w:rsid w:val="00803D3A"/>
    <w:rsid w:val="008065B7"/>
    <w:rsid w:val="00806D01"/>
    <w:rsid w:val="00810C80"/>
    <w:rsid w:val="00811D1B"/>
    <w:rsid w:val="008160DF"/>
    <w:rsid w:val="00816153"/>
    <w:rsid w:val="00816FA7"/>
    <w:rsid w:val="008171AE"/>
    <w:rsid w:val="00817D0C"/>
    <w:rsid w:val="0082456A"/>
    <w:rsid w:val="008261C2"/>
    <w:rsid w:val="00826CA5"/>
    <w:rsid w:val="0083216F"/>
    <w:rsid w:val="008346B9"/>
    <w:rsid w:val="0083546A"/>
    <w:rsid w:val="00836328"/>
    <w:rsid w:val="00837097"/>
    <w:rsid w:val="0083745B"/>
    <w:rsid w:val="0084019A"/>
    <w:rsid w:val="00840D04"/>
    <w:rsid w:val="00841120"/>
    <w:rsid w:val="00842809"/>
    <w:rsid w:val="00845336"/>
    <w:rsid w:val="00850A28"/>
    <w:rsid w:val="008510FE"/>
    <w:rsid w:val="0085144A"/>
    <w:rsid w:val="00851D23"/>
    <w:rsid w:val="0085258E"/>
    <w:rsid w:val="00854EBD"/>
    <w:rsid w:val="008574E4"/>
    <w:rsid w:val="008619E1"/>
    <w:rsid w:val="0086329F"/>
    <w:rsid w:val="00864037"/>
    <w:rsid w:val="00864155"/>
    <w:rsid w:val="00864631"/>
    <w:rsid w:val="0086488F"/>
    <w:rsid w:val="008777E1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B56"/>
    <w:rsid w:val="008A568D"/>
    <w:rsid w:val="008A6934"/>
    <w:rsid w:val="008B14BA"/>
    <w:rsid w:val="008B547D"/>
    <w:rsid w:val="008B569E"/>
    <w:rsid w:val="008B670E"/>
    <w:rsid w:val="008C1349"/>
    <w:rsid w:val="008C245B"/>
    <w:rsid w:val="008C32F7"/>
    <w:rsid w:val="008C3502"/>
    <w:rsid w:val="008C545B"/>
    <w:rsid w:val="008C5F72"/>
    <w:rsid w:val="008C63E5"/>
    <w:rsid w:val="008C75E2"/>
    <w:rsid w:val="008D07C3"/>
    <w:rsid w:val="008D1C74"/>
    <w:rsid w:val="008D57D8"/>
    <w:rsid w:val="008E134A"/>
    <w:rsid w:val="008E2626"/>
    <w:rsid w:val="008E32D6"/>
    <w:rsid w:val="008E50A9"/>
    <w:rsid w:val="008E668A"/>
    <w:rsid w:val="008E746E"/>
    <w:rsid w:val="008F3AF2"/>
    <w:rsid w:val="008F3BD5"/>
    <w:rsid w:val="008F47C8"/>
    <w:rsid w:val="008F62A3"/>
    <w:rsid w:val="008F6825"/>
    <w:rsid w:val="00911F40"/>
    <w:rsid w:val="00913377"/>
    <w:rsid w:val="00913F7A"/>
    <w:rsid w:val="009163A8"/>
    <w:rsid w:val="00917165"/>
    <w:rsid w:val="00921F3F"/>
    <w:rsid w:val="00922FE5"/>
    <w:rsid w:val="00923D1B"/>
    <w:rsid w:val="0092578B"/>
    <w:rsid w:val="00925A57"/>
    <w:rsid w:val="009265A6"/>
    <w:rsid w:val="00930511"/>
    <w:rsid w:val="0093103D"/>
    <w:rsid w:val="009310B9"/>
    <w:rsid w:val="00932B21"/>
    <w:rsid w:val="00933AB3"/>
    <w:rsid w:val="0093529B"/>
    <w:rsid w:val="0094459B"/>
    <w:rsid w:val="00945307"/>
    <w:rsid w:val="00947D34"/>
    <w:rsid w:val="00947EBA"/>
    <w:rsid w:val="009546F4"/>
    <w:rsid w:val="009546F8"/>
    <w:rsid w:val="009557EB"/>
    <w:rsid w:val="00956CA4"/>
    <w:rsid w:val="00957C24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421"/>
    <w:rsid w:val="00980C90"/>
    <w:rsid w:val="00984037"/>
    <w:rsid w:val="00984810"/>
    <w:rsid w:val="00984915"/>
    <w:rsid w:val="00984924"/>
    <w:rsid w:val="00985731"/>
    <w:rsid w:val="009868F2"/>
    <w:rsid w:val="009903E8"/>
    <w:rsid w:val="00995459"/>
    <w:rsid w:val="00996068"/>
    <w:rsid w:val="0099640F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F8F"/>
    <w:rsid w:val="009C26A2"/>
    <w:rsid w:val="009C511D"/>
    <w:rsid w:val="009C7006"/>
    <w:rsid w:val="009C71BE"/>
    <w:rsid w:val="009C74EB"/>
    <w:rsid w:val="009D2A50"/>
    <w:rsid w:val="009D3C2C"/>
    <w:rsid w:val="009D3E0E"/>
    <w:rsid w:val="009D6547"/>
    <w:rsid w:val="009D7630"/>
    <w:rsid w:val="009E2E63"/>
    <w:rsid w:val="009E39F8"/>
    <w:rsid w:val="009E4E88"/>
    <w:rsid w:val="009E52F9"/>
    <w:rsid w:val="009F20BC"/>
    <w:rsid w:val="00A11762"/>
    <w:rsid w:val="00A15970"/>
    <w:rsid w:val="00A2291F"/>
    <w:rsid w:val="00A233AB"/>
    <w:rsid w:val="00A257D7"/>
    <w:rsid w:val="00A30329"/>
    <w:rsid w:val="00A30356"/>
    <w:rsid w:val="00A313DC"/>
    <w:rsid w:val="00A36793"/>
    <w:rsid w:val="00A37032"/>
    <w:rsid w:val="00A37D19"/>
    <w:rsid w:val="00A40BC9"/>
    <w:rsid w:val="00A410D5"/>
    <w:rsid w:val="00A41784"/>
    <w:rsid w:val="00A41878"/>
    <w:rsid w:val="00A42936"/>
    <w:rsid w:val="00A45FFF"/>
    <w:rsid w:val="00A473AE"/>
    <w:rsid w:val="00A503EC"/>
    <w:rsid w:val="00A50E93"/>
    <w:rsid w:val="00A50F05"/>
    <w:rsid w:val="00A538E0"/>
    <w:rsid w:val="00A600CE"/>
    <w:rsid w:val="00A61C23"/>
    <w:rsid w:val="00A631FF"/>
    <w:rsid w:val="00A644DD"/>
    <w:rsid w:val="00A66AB7"/>
    <w:rsid w:val="00A71230"/>
    <w:rsid w:val="00A71DAA"/>
    <w:rsid w:val="00A72BB2"/>
    <w:rsid w:val="00A74694"/>
    <w:rsid w:val="00A75551"/>
    <w:rsid w:val="00A766E2"/>
    <w:rsid w:val="00A77051"/>
    <w:rsid w:val="00A8140E"/>
    <w:rsid w:val="00A81B1C"/>
    <w:rsid w:val="00A82E05"/>
    <w:rsid w:val="00A834AC"/>
    <w:rsid w:val="00A86230"/>
    <w:rsid w:val="00A916C5"/>
    <w:rsid w:val="00A949F2"/>
    <w:rsid w:val="00A95853"/>
    <w:rsid w:val="00AA02B8"/>
    <w:rsid w:val="00AA1107"/>
    <w:rsid w:val="00AA2F50"/>
    <w:rsid w:val="00AA6E65"/>
    <w:rsid w:val="00AB1C7D"/>
    <w:rsid w:val="00AB1E3D"/>
    <w:rsid w:val="00AB3024"/>
    <w:rsid w:val="00AB30C5"/>
    <w:rsid w:val="00AB3D57"/>
    <w:rsid w:val="00AB3D83"/>
    <w:rsid w:val="00AB5749"/>
    <w:rsid w:val="00AC1766"/>
    <w:rsid w:val="00AC190C"/>
    <w:rsid w:val="00AC2B37"/>
    <w:rsid w:val="00AC55EE"/>
    <w:rsid w:val="00AC5ABA"/>
    <w:rsid w:val="00AC75AC"/>
    <w:rsid w:val="00AD0550"/>
    <w:rsid w:val="00AD1C88"/>
    <w:rsid w:val="00AD2D12"/>
    <w:rsid w:val="00AD57C5"/>
    <w:rsid w:val="00AD76F9"/>
    <w:rsid w:val="00AE69F4"/>
    <w:rsid w:val="00AF4B73"/>
    <w:rsid w:val="00AF4E8C"/>
    <w:rsid w:val="00AF580B"/>
    <w:rsid w:val="00B010B5"/>
    <w:rsid w:val="00B02B91"/>
    <w:rsid w:val="00B123F4"/>
    <w:rsid w:val="00B12FAE"/>
    <w:rsid w:val="00B1568E"/>
    <w:rsid w:val="00B16382"/>
    <w:rsid w:val="00B25743"/>
    <w:rsid w:val="00B258F0"/>
    <w:rsid w:val="00B30BF1"/>
    <w:rsid w:val="00B30F94"/>
    <w:rsid w:val="00B31359"/>
    <w:rsid w:val="00B341D2"/>
    <w:rsid w:val="00B34E8B"/>
    <w:rsid w:val="00B355C9"/>
    <w:rsid w:val="00B37DA8"/>
    <w:rsid w:val="00B40EBE"/>
    <w:rsid w:val="00B41B58"/>
    <w:rsid w:val="00B429F3"/>
    <w:rsid w:val="00B441DE"/>
    <w:rsid w:val="00B44EEF"/>
    <w:rsid w:val="00B45D4C"/>
    <w:rsid w:val="00B50366"/>
    <w:rsid w:val="00B53102"/>
    <w:rsid w:val="00B57FD1"/>
    <w:rsid w:val="00B616B0"/>
    <w:rsid w:val="00B630E3"/>
    <w:rsid w:val="00B6314A"/>
    <w:rsid w:val="00B67F50"/>
    <w:rsid w:val="00B71E6F"/>
    <w:rsid w:val="00B71FF4"/>
    <w:rsid w:val="00B7244F"/>
    <w:rsid w:val="00B73FF0"/>
    <w:rsid w:val="00B74AA4"/>
    <w:rsid w:val="00B752FA"/>
    <w:rsid w:val="00B82E5A"/>
    <w:rsid w:val="00B83B7A"/>
    <w:rsid w:val="00B84949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CA0"/>
    <w:rsid w:val="00BD064B"/>
    <w:rsid w:val="00BD09FB"/>
    <w:rsid w:val="00BD1105"/>
    <w:rsid w:val="00BD2759"/>
    <w:rsid w:val="00BD30F0"/>
    <w:rsid w:val="00BE4539"/>
    <w:rsid w:val="00BE658C"/>
    <w:rsid w:val="00BE70FF"/>
    <w:rsid w:val="00BE7A31"/>
    <w:rsid w:val="00BF1880"/>
    <w:rsid w:val="00BF3CF9"/>
    <w:rsid w:val="00BF5C9E"/>
    <w:rsid w:val="00BF6376"/>
    <w:rsid w:val="00BF764F"/>
    <w:rsid w:val="00C00364"/>
    <w:rsid w:val="00C01D2F"/>
    <w:rsid w:val="00C02540"/>
    <w:rsid w:val="00C0640D"/>
    <w:rsid w:val="00C06F28"/>
    <w:rsid w:val="00C07651"/>
    <w:rsid w:val="00C12875"/>
    <w:rsid w:val="00C14F61"/>
    <w:rsid w:val="00C2259D"/>
    <w:rsid w:val="00C2287E"/>
    <w:rsid w:val="00C2310D"/>
    <w:rsid w:val="00C23CEC"/>
    <w:rsid w:val="00C23F8C"/>
    <w:rsid w:val="00C258DB"/>
    <w:rsid w:val="00C27A04"/>
    <w:rsid w:val="00C33533"/>
    <w:rsid w:val="00C40C9A"/>
    <w:rsid w:val="00C40D3D"/>
    <w:rsid w:val="00C41849"/>
    <w:rsid w:val="00C41C17"/>
    <w:rsid w:val="00C436A5"/>
    <w:rsid w:val="00C45A2A"/>
    <w:rsid w:val="00C45B53"/>
    <w:rsid w:val="00C51397"/>
    <w:rsid w:val="00C55C73"/>
    <w:rsid w:val="00C578D1"/>
    <w:rsid w:val="00C60F76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818AF"/>
    <w:rsid w:val="00C82A46"/>
    <w:rsid w:val="00C82C4C"/>
    <w:rsid w:val="00C835D6"/>
    <w:rsid w:val="00C84345"/>
    <w:rsid w:val="00C846A1"/>
    <w:rsid w:val="00C912BE"/>
    <w:rsid w:val="00C9136D"/>
    <w:rsid w:val="00C9634C"/>
    <w:rsid w:val="00CA152E"/>
    <w:rsid w:val="00CA3B05"/>
    <w:rsid w:val="00CA5711"/>
    <w:rsid w:val="00CA7469"/>
    <w:rsid w:val="00CB00E9"/>
    <w:rsid w:val="00CB4D8E"/>
    <w:rsid w:val="00CB547E"/>
    <w:rsid w:val="00CC01FD"/>
    <w:rsid w:val="00CC5285"/>
    <w:rsid w:val="00CC5352"/>
    <w:rsid w:val="00CD25D1"/>
    <w:rsid w:val="00CD2B63"/>
    <w:rsid w:val="00CD517B"/>
    <w:rsid w:val="00CD5A1D"/>
    <w:rsid w:val="00CE0296"/>
    <w:rsid w:val="00CE4F24"/>
    <w:rsid w:val="00CE61F2"/>
    <w:rsid w:val="00CF0C6F"/>
    <w:rsid w:val="00CF0FC6"/>
    <w:rsid w:val="00CF2177"/>
    <w:rsid w:val="00CF6740"/>
    <w:rsid w:val="00CF7C20"/>
    <w:rsid w:val="00D019DA"/>
    <w:rsid w:val="00D02C5C"/>
    <w:rsid w:val="00D05159"/>
    <w:rsid w:val="00D0787D"/>
    <w:rsid w:val="00D07E00"/>
    <w:rsid w:val="00D12213"/>
    <w:rsid w:val="00D14E1B"/>
    <w:rsid w:val="00D16DD9"/>
    <w:rsid w:val="00D21239"/>
    <w:rsid w:val="00D219E3"/>
    <w:rsid w:val="00D21CAC"/>
    <w:rsid w:val="00D23E54"/>
    <w:rsid w:val="00D27651"/>
    <w:rsid w:val="00D27A2D"/>
    <w:rsid w:val="00D3105B"/>
    <w:rsid w:val="00D34E0B"/>
    <w:rsid w:val="00D3569F"/>
    <w:rsid w:val="00D359C2"/>
    <w:rsid w:val="00D35C6B"/>
    <w:rsid w:val="00D3608B"/>
    <w:rsid w:val="00D41572"/>
    <w:rsid w:val="00D43178"/>
    <w:rsid w:val="00D444E8"/>
    <w:rsid w:val="00D44B62"/>
    <w:rsid w:val="00D44E98"/>
    <w:rsid w:val="00D467F1"/>
    <w:rsid w:val="00D4682B"/>
    <w:rsid w:val="00D46C87"/>
    <w:rsid w:val="00D52B80"/>
    <w:rsid w:val="00D55B54"/>
    <w:rsid w:val="00D57A92"/>
    <w:rsid w:val="00D57E52"/>
    <w:rsid w:val="00D6193B"/>
    <w:rsid w:val="00D638F8"/>
    <w:rsid w:val="00D66BDE"/>
    <w:rsid w:val="00D670FB"/>
    <w:rsid w:val="00D67163"/>
    <w:rsid w:val="00D7003C"/>
    <w:rsid w:val="00D73595"/>
    <w:rsid w:val="00D74632"/>
    <w:rsid w:val="00D75285"/>
    <w:rsid w:val="00D75555"/>
    <w:rsid w:val="00D7602A"/>
    <w:rsid w:val="00D76524"/>
    <w:rsid w:val="00D76A67"/>
    <w:rsid w:val="00D7763D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2E2"/>
    <w:rsid w:val="00DB66E3"/>
    <w:rsid w:val="00DB7CC5"/>
    <w:rsid w:val="00DC107D"/>
    <w:rsid w:val="00DC1104"/>
    <w:rsid w:val="00DC1FB1"/>
    <w:rsid w:val="00DC3732"/>
    <w:rsid w:val="00DC380A"/>
    <w:rsid w:val="00DD049D"/>
    <w:rsid w:val="00DD1E6B"/>
    <w:rsid w:val="00DD2B3C"/>
    <w:rsid w:val="00DD3C63"/>
    <w:rsid w:val="00DD45AF"/>
    <w:rsid w:val="00DD5BB1"/>
    <w:rsid w:val="00DD738B"/>
    <w:rsid w:val="00DD7EA7"/>
    <w:rsid w:val="00DE6F9C"/>
    <w:rsid w:val="00DF4C23"/>
    <w:rsid w:val="00DF70AF"/>
    <w:rsid w:val="00E01FE9"/>
    <w:rsid w:val="00E03D1D"/>
    <w:rsid w:val="00E07682"/>
    <w:rsid w:val="00E12915"/>
    <w:rsid w:val="00E1485E"/>
    <w:rsid w:val="00E21BC9"/>
    <w:rsid w:val="00E23846"/>
    <w:rsid w:val="00E23E2B"/>
    <w:rsid w:val="00E247CD"/>
    <w:rsid w:val="00E25B2C"/>
    <w:rsid w:val="00E2698B"/>
    <w:rsid w:val="00E33A22"/>
    <w:rsid w:val="00E3574D"/>
    <w:rsid w:val="00E402A2"/>
    <w:rsid w:val="00E40B2D"/>
    <w:rsid w:val="00E421BF"/>
    <w:rsid w:val="00E45FEF"/>
    <w:rsid w:val="00E52BB4"/>
    <w:rsid w:val="00E52C4B"/>
    <w:rsid w:val="00E54261"/>
    <w:rsid w:val="00E54849"/>
    <w:rsid w:val="00E5578D"/>
    <w:rsid w:val="00E56C2B"/>
    <w:rsid w:val="00E56FF6"/>
    <w:rsid w:val="00E57208"/>
    <w:rsid w:val="00E60425"/>
    <w:rsid w:val="00E605D2"/>
    <w:rsid w:val="00E6267E"/>
    <w:rsid w:val="00E638C9"/>
    <w:rsid w:val="00E6479A"/>
    <w:rsid w:val="00E67B23"/>
    <w:rsid w:val="00E704E4"/>
    <w:rsid w:val="00E71020"/>
    <w:rsid w:val="00E71BD8"/>
    <w:rsid w:val="00E7215F"/>
    <w:rsid w:val="00E73A86"/>
    <w:rsid w:val="00E74AF7"/>
    <w:rsid w:val="00E776C2"/>
    <w:rsid w:val="00E805DB"/>
    <w:rsid w:val="00E81A76"/>
    <w:rsid w:val="00E8478A"/>
    <w:rsid w:val="00E867CC"/>
    <w:rsid w:val="00E87CEB"/>
    <w:rsid w:val="00E95A13"/>
    <w:rsid w:val="00E97468"/>
    <w:rsid w:val="00EA3BD2"/>
    <w:rsid w:val="00EA6919"/>
    <w:rsid w:val="00EB02B0"/>
    <w:rsid w:val="00EB0BE7"/>
    <w:rsid w:val="00EB11F4"/>
    <w:rsid w:val="00EB1D8C"/>
    <w:rsid w:val="00EB2575"/>
    <w:rsid w:val="00EB3882"/>
    <w:rsid w:val="00EB46C9"/>
    <w:rsid w:val="00EB4C93"/>
    <w:rsid w:val="00EB5B77"/>
    <w:rsid w:val="00EB6D63"/>
    <w:rsid w:val="00EC110D"/>
    <w:rsid w:val="00EC2F13"/>
    <w:rsid w:val="00EC4DE3"/>
    <w:rsid w:val="00ED046B"/>
    <w:rsid w:val="00ED0B4A"/>
    <w:rsid w:val="00ED2059"/>
    <w:rsid w:val="00ED41B6"/>
    <w:rsid w:val="00ED4E02"/>
    <w:rsid w:val="00ED59DD"/>
    <w:rsid w:val="00EE0E75"/>
    <w:rsid w:val="00EE367A"/>
    <w:rsid w:val="00EE370B"/>
    <w:rsid w:val="00EE47B8"/>
    <w:rsid w:val="00EE7D01"/>
    <w:rsid w:val="00EF05CB"/>
    <w:rsid w:val="00EF10AF"/>
    <w:rsid w:val="00EF1AA9"/>
    <w:rsid w:val="00EF3D12"/>
    <w:rsid w:val="00EF5B1B"/>
    <w:rsid w:val="00F02356"/>
    <w:rsid w:val="00F03BC3"/>
    <w:rsid w:val="00F041C6"/>
    <w:rsid w:val="00F11B0B"/>
    <w:rsid w:val="00F13578"/>
    <w:rsid w:val="00F159B1"/>
    <w:rsid w:val="00F21D98"/>
    <w:rsid w:val="00F236CE"/>
    <w:rsid w:val="00F24297"/>
    <w:rsid w:val="00F2484D"/>
    <w:rsid w:val="00F24C21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0457"/>
    <w:rsid w:val="00F6120A"/>
    <w:rsid w:val="00F61BBA"/>
    <w:rsid w:val="00F61E29"/>
    <w:rsid w:val="00F644A8"/>
    <w:rsid w:val="00F64E79"/>
    <w:rsid w:val="00F67EAE"/>
    <w:rsid w:val="00F7186E"/>
    <w:rsid w:val="00F75438"/>
    <w:rsid w:val="00F77329"/>
    <w:rsid w:val="00F77F69"/>
    <w:rsid w:val="00F80F63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2355"/>
    <w:rsid w:val="00F93513"/>
    <w:rsid w:val="00F940C9"/>
    <w:rsid w:val="00F955D0"/>
    <w:rsid w:val="00F95C19"/>
    <w:rsid w:val="00F96036"/>
    <w:rsid w:val="00FA1401"/>
    <w:rsid w:val="00FA1736"/>
    <w:rsid w:val="00FA1754"/>
    <w:rsid w:val="00FA26BB"/>
    <w:rsid w:val="00FA42DA"/>
    <w:rsid w:val="00FA5B92"/>
    <w:rsid w:val="00FA6629"/>
    <w:rsid w:val="00FA68FE"/>
    <w:rsid w:val="00FA77D7"/>
    <w:rsid w:val="00FB3B1F"/>
    <w:rsid w:val="00FB3C5A"/>
    <w:rsid w:val="00FB3D46"/>
    <w:rsid w:val="00FB3F57"/>
    <w:rsid w:val="00FB497C"/>
    <w:rsid w:val="00FB560F"/>
    <w:rsid w:val="00FB5E24"/>
    <w:rsid w:val="00FB64BF"/>
    <w:rsid w:val="00FC3BFC"/>
    <w:rsid w:val="00FC705A"/>
    <w:rsid w:val="00FD0CE9"/>
    <w:rsid w:val="00FD2DCF"/>
    <w:rsid w:val="00FD3035"/>
    <w:rsid w:val="00FD38FA"/>
    <w:rsid w:val="00FD66EA"/>
    <w:rsid w:val="00FD78DF"/>
    <w:rsid w:val="00FE5851"/>
    <w:rsid w:val="00FE5869"/>
    <w:rsid w:val="00FE61F1"/>
    <w:rsid w:val="00FE6C32"/>
    <w:rsid w:val="00FF151D"/>
    <w:rsid w:val="00FF2831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CDE8361"/>
  <w15:docId w15:val="{D6EB6615-294D-4279-B201-4DD71FCD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uiPriority w:val="99"/>
    <w:semiHidden/>
    <w:rsid w:val="00DA7C9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roll@doa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newsroom/irs-2018-employer-reimbursements-for-employees-2017-moves-are-generally-tax-fr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a.virginia.gov/forms/Payroll/Pay_Dock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roll@doa.virginia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9E95-FE0E-4E6C-BED5-825ABCE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4</TotalTime>
  <Pages>3</Pages>
  <Words>897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6210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McGill, Cathy (DOA)</dc:creator>
  <cp:keywords>Payroll Bulletin 2015-12</cp:keywords>
  <dc:description>Payroll Bulletin 2015-12</dc:description>
  <cp:lastModifiedBy>McGill, Cathy (DOA)</cp:lastModifiedBy>
  <cp:revision>4</cp:revision>
  <cp:lastPrinted>2017-10-30T17:23:00Z</cp:lastPrinted>
  <dcterms:created xsi:type="dcterms:W3CDTF">2018-09-25T14:16:00Z</dcterms:created>
  <dcterms:modified xsi:type="dcterms:W3CDTF">2018-09-25T14:26:00Z</dcterms:modified>
  <cp:category>Payroll Bulletin 2015-12</cp:category>
</cp:coreProperties>
</file>