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51786">
            <w:pPr>
              <w:pStyle w:val="Header"/>
              <w:rPr>
                <w:b/>
                <w:sz w:val="20"/>
              </w:rPr>
            </w:pPr>
            <w:r>
              <w:rPr>
                <w:b/>
                <w:sz w:val="20"/>
              </w:rPr>
              <w:t xml:space="preserve">Calendar Year </w:t>
            </w:r>
            <w:r w:rsidR="00304474">
              <w:rPr>
                <w:b/>
                <w:sz w:val="20"/>
              </w:rPr>
              <w:t>201</w:t>
            </w:r>
            <w:r w:rsidR="008B468E">
              <w:rPr>
                <w:b/>
                <w:sz w:val="20"/>
              </w:rPr>
              <w:t>9</w:t>
            </w:r>
          </w:p>
        </w:tc>
        <w:tc>
          <w:tcPr>
            <w:tcW w:w="3366" w:type="dxa"/>
            <w:tcBorders>
              <w:bottom w:val="double" w:sz="6" w:space="0" w:color="auto"/>
            </w:tcBorders>
          </w:tcPr>
          <w:p w:rsidR="007C617C" w:rsidRDefault="008B468E" w:rsidP="00E614E7">
            <w:pPr>
              <w:pStyle w:val="Header"/>
              <w:jc w:val="center"/>
              <w:rPr>
                <w:b/>
                <w:sz w:val="20"/>
              </w:rPr>
            </w:pPr>
            <w:r>
              <w:rPr>
                <w:b/>
                <w:sz w:val="20"/>
              </w:rPr>
              <w:t xml:space="preserve">March </w:t>
            </w:r>
            <w:r w:rsidR="00133F31">
              <w:rPr>
                <w:b/>
                <w:sz w:val="20"/>
              </w:rPr>
              <w:t>1</w:t>
            </w:r>
            <w:r w:rsidR="00E614E7">
              <w:rPr>
                <w:b/>
                <w:sz w:val="20"/>
              </w:rPr>
              <w:t>4</w:t>
            </w:r>
            <w:r>
              <w:rPr>
                <w:b/>
                <w:sz w:val="20"/>
              </w:rPr>
              <w:t>, 2019</w:t>
            </w:r>
          </w:p>
        </w:tc>
        <w:tc>
          <w:tcPr>
            <w:tcW w:w="4176" w:type="dxa"/>
            <w:tcBorders>
              <w:bottom w:val="double" w:sz="6" w:space="0" w:color="auto"/>
            </w:tcBorders>
          </w:tcPr>
          <w:p w:rsidR="007C617C" w:rsidRDefault="007C617C" w:rsidP="008B468E">
            <w:pPr>
              <w:pStyle w:val="Header"/>
              <w:jc w:val="right"/>
              <w:rPr>
                <w:b/>
                <w:sz w:val="20"/>
              </w:rPr>
            </w:pPr>
            <w:r>
              <w:rPr>
                <w:b/>
                <w:sz w:val="20"/>
              </w:rPr>
              <w:t xml:space="preserve">Volume </w:t>
            </w:r>
            <w:r w:rsidR="00304474">
              <w:rPr>
                <w:b/>
                <w:sz w:val="20"/>
              </w:rPr>
              <w:t>201</w:t>
            </w:r>
            <w:r w:rsidR="008B468E">
              <w:rPr>
                <w:b/>
                <w:sz w:val="20"/>
              </w:rPr>
              <w:t>9</w:t>
            </w:r>
            <w:r w:rsidR="00304474">
              <w:rPr>
                <w:b/>
                <w:sz w:val="20"/>
              </w:rPr>
              <w:t>-</w:t>
            </w:r>
            <w:r w:rsidR="008B468E">
              <w:rPr>
                <w:b/>
                <w:sz w:val="20"/>
              </w:rPr>
              <w:t>02</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1F4FF1" w:rsidRDefault="001F4FF1" w:rsidP="001F4FF1">
            <w:pPr>
              <w:numPr>
                <w:ilvl w:val="0"/>
                <w:numId w:val="1"/>
              </w:numPr>
              <w:tabs>
                <w:tab w:val="left" w:pos="990"/>
              </w:tabs>
              <w:spacing w:before="60"/>
              <w:ind w:left="547"/>
              <w:rPr>
                <w:b/>
                <w:szCs w:val="24"/>
              </w:rPr>
            </w:pPr>
            <w:r>
              <w:rPr>
                <w:b/>
                <w:szCs w:val="24"/>
              </w:rPr>
              <w:t>CIPPS Training Courses</w:t>
            </w:r>
          </w:p>
          <w:p w:rsidR="003A5AA1" w:rsidRDefault="008C6A44" w:rsidP="003A5AA1">
            <w:pPr>
              <w:numPr>
                <w:ilvl w:val="0"/>
                <w:numId w:val="1"/>
              </w:numPr>
              <w:tabs>
                <w:tab w:val="left" w:pos="990"/>
              </w:tabs>
              <w:spacing w:before="60"/>
              <w:ind w:left="547"/>
              <w:rPr>
                <w:b/>
                <w:szCs w:val="24"/>
              </w:rPr>
            </w:pPr>
            <w:r>
              <w:rPr>
                <w:b/>
                <w:szCs w:val="24"/>
              </w:rPr>
              <w:t xml:space="preserve">Attachment </w:t>
            </w:r>
            <w:r w:rsidR="003A5AA1">
              <w:rPr>
                <w:b/>
                <w:szCs w:val="24"/>
              </w:rPr>
              <w:t>HE-6 Optional Retirement Plans Data Retrieval</w:t>
            </w:r>
          </w:p>
          <w:p w:rsidR="003A5AA1" w:rsidRDefault="003A5AA1" w:rsidP="003A5AA1">
            <w:pPr>
              <w:numPr>
                <w:ilvl w:val="0"/>
                <w:numId w:val="1"/>
              </w:numPr>
              <w:tabs>
                <w:tab w:val="left" w:pos="990"/>
              </w:tabs>
              <w:spacing w:before="60"/>
              <w:ind w:left="547"/>
              <w:rPr>
                <w:b/>
                <w:szCs w:val="24"/>
              </w:rPr>
            </w:pPr>
            <w:r>
              <w:rPr>
                <w:b/>
                <w:szCs w:val="24"/>
              </w:rPr>
              <w:t>Tips for Contacting Us</w:t>
            </w:r>
          </w:p>
          <w:p w:rsidR="00CA152E" w:rsidRDefault="00D23198" w:rsidP="00366A23">
            <w:pPr>
              <w:numPr>
                <w:ilvl w:val="0"/>
                <w:numId w:val="1"/>
              </w:numPr>
              <w:tabs>
                <w:tab w:val="left" w:pos="990"/>
              </w:tabs>
              <w:spacing w:before="60"/>
              <w:ind w:left="547"/>
              <w:rPr>
                <w:b/>
                <w:szCs w:val="24"/>
              </w:rPr>
            </w:pPr>
            <w:r>
              <w:rPr>
                <w:b/>
                <w:szCs w:val="24"/>
              </w:rPr>
              <w:t>Direct Deposit Security</w:t>
            </w:r>
            <w:r w:rsidR="00FE2D18">
              <w:rPr>
                <w:b/>
                <w:szCs w:val="24"/>
              </w:rPr>
              <w:t xml:space="preserve"> Reminder</w:t>
            </w:r>
          </w:p>
          <w:p w:rsidR="00970855" w:rsidRDefault="00F56C23" w:rsidP="008B468E">
            <w:pPr>
              <w:numPr>
                <w:ilvl w:val="0"/>
                <w:numId w:val="1"/>
              </w:numPr>
              <w:tabs>
                <w:tab w:val="left" w:pos="990"/>
              </w:tabs>
              <w:spacing w:before="60"/>
              <w:ind w:left="547"/>
              <w:rPr>
                <w:b/>
                <w:szCs w:val="24"/>
              </w:rPr>
            </w:pPr>
            <w:r>
              <w:rPr>
                <w:b/>
                <w:szCs w:val="24"/>
              </w:rPr>
              <w:t>PMIS to CIPPS New Hire Interface Update</w:t>
            </w:r>
          </w:p>
          <w:p w:rsidR="00F56C23" w:rsidRPr="00172018" w:rsidRDefault="00F56C23" w:rsidP="003A5AA1">
            <w:pPr>
              <w:tabs>
                <w:tab w:val="left" w:pos="990"/>
              </w:tabs>
              <w:spacing w:before="60"/>
              <w:ind w:left="547"/>
              <w:rPr>
                <w:b/>
              </w:rPr>
            </w:pP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w:t>
            </w:r>
            <w:r w:rsidR="003655B0">
              <w:rPr>
                <w:sz w:val="20"/>
              </w:rPr>
              <w:t>225</w:t>
            </w:r>
            <w:r w:rsidRPr="00E6267E">
              <w:rPr>
                <w:sz w:val="20"/>
              </w:rPr>
              <w:t>-</w:t>
            </w:r>
            <w:r w:rsidR="003655B0">
              <w:rPr>
                <w:sz w:val="20"/>
              </w:rPr>
              <w:t>2245</w:t>
            </w:r>
            <w:r w:rsidRPr="00E6267E">
              <w:rPr>
                <w:sz w:val="20"/>
              </w:rPr>
              <w:t xml:space="preserve"> or Email at </w:t>
            </w:r>
            <w:hyperlink r:id="rId9"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Default="002775F4" w:rsidP="00E6267E">
            <w:pPr>
              <w:tabs>
                <w:tab w:val="left" w:pos="990"/>
              </w:tabs>
              <w:spacing w:before="120"/>
              <w:rPr>
                <w:b/>
                <w:sz w:val="20"/>
              </w:rPr>
            </w:pPr>
            <w:r w:rsidRPr="00E6267E">
              <w:rPr>
                <w:b/>
                <w:sz w:val="20"/>
              </w:rPr>
              <w:t xml:space="preserve">Director                         </w:t>
            </w:r>
            <w:r w:rsidR="00D23198">
              <w:rPr>
                <w:b/>
                <w:sz w:val="20"/>
              </w:rPr>
              <w:t>Cathy C. McGill</w:t>
            </w:r>
          </w:p>
          <w:p w:rsidR="00535941" w:rsidRPr="00535941" w:rsidRDefault="00535941" w:rsidP="00E6267E">
            <w:pPr>
              <w:tabs>
                <w:tab w:val="left" w:pos="990"/>
              </w:tabs>
              <w:spacing w:before="120"/>
              <w:rPr>
                <w:sz w:val="20"/>
              </w:rPr>
            </w:pPr>
            <w:r>
              <w:rPr>
                <w:sz w:val="20"/>
              </w:rPr>
              <w:t>Assistant Director          Carmelita Holmes</w:t>
            </w:r>
          </w:p>
          <w:p w:rsidR="002775F4" w:rsidRPr="00E6267E" w:rsidRDefault="002775F4" w:rsidP="00E6267E">
            <w:pPr>
              <w:tabs>
                <w:tab w:val="left" w:pos="990"/>
              </w:tabs>
              <w:spacing w:before="120"/>
              <w:rPr>
                <w:szCs w:val="24"/>
              </w:rPr>
            </w:pPr>
          </w:p>
        </w:tc>
      </w:tr>
    </w:tbl>
    <w:p w:rsidR="00E1485E" w:rsidRDefault="00E1485E" w:rsidP="00E1485E">
      <w:pPr>
        <w:pStyle w:val="BlockLine"/>
        <w:spacing w:before="0"/>
        <w:ind w:left="1354"/>
        <w:rPr>
          <w:sz w:val="16"/>
          <w:szCs w:val="16"/>
        </w:rPr>
      </w:pPr>
    </w:p>
    <w:p w:rsidR="00167683" w:rsidRDefault="00167683" w:rsidP="00167683">
      <w:pPr>
        <w:pStyle w:val="NormalWeb"/>
        <w:rPr>
          <w:b/>
          <w:bCs/>
          <w:color w:val="000000"/>
          <w:sz w:val="28"/>
          <w:szCs w:val="28"/>
        </w:rPr>
      </w:pPr>
      <w:r>
        <w:rPr>
          <w:b/>
          <w:bCs/>
          <w:color w:val="000000"/>
          <w:sz w:val="28"/>
          <w:szCs w:val="28"/>
        </w:rPr>
        <w:t>CIPPS Training Courses</w:t>
      </w:r>
    </w:p>
    <w:p w:rsidR="00167683" w:rsidRDefault="00167683" w:rsidP="00167683">
      <w:pPr>
        <w:pStyle w:val="BlockLine"/>
        <w:ind w:left="1350"/>
        <w:rPr>
          <w:sz w:val="16"/>
          <w:szCs w:val="16"/>
        </w:rPr>
      </w:pPr>
    </w:p>
    <w:tbl>
      <w:tblPr>
        <w:tblW w:w="10188" w:type="dxa"/>
        <w:tblLayout w:type="fixed"/>
        <w:tblLook w:val="0000" w:firstRow="0" w:lastRow="0" w:firstColumn="0" w:lastColumn="0" w:noHBand="0" w:noVBand="0"/>
      </w:tblPr>
      <w:tblGrid>
        <w:gridCol w:w="1458"/>
        <w:gridCol w:w="8730"/>
      </w:tblGrid>
      <w:tr w:rsidR="00167683" w:rsidTr="00471E1E">
        <w:trPr>
          <w:cantSplit/>
        </w:trPr>
        <w:tc>
          <w:tcPr>
            <w:tcW w:w="1458" w:type="dxa"/>
          </w:tcPr>
          <w:p w:rsidR="00167683" w:rsidRDefault="00167683" w:rsidP="00471E1E">
            <w:pPr>
              <w:pStyle w:val="Heading5"/>
            </w:pPr>
            <w:r>
              <w:t>CIPPS Introductory Training Courses</w:t>
            </w:r>
          </w:p>
        </w:tc>
        <w:tc>
          <w:tcPr>
            <w:tcW w:w="8730" w:type="dxa"/>
          </w:tcPr>
          <w:p w:rsidR="00167683" w:rsidRDefault="00167683" w:rsidP="007853A4">
            <w:pPr>
              <w:pStyle w:val="BlockText"/>
              <w:tabs>
                <w:tab w:val="left" w:pos="4554"/>
              </w:tabs>
              <w:ind w:left="162"/>
            </w:pPr>
            <w:r>
              <w:t xml:space="preserve">The Department of Accounts will offer CIPPS Introductory Payroll training and Introductory Leave Accounting training courses </w:t>
            </w:r>
            <w:r w:rsidR="007853A4">
              <w:t>April 15 – 18, 2019</w:t>
            </w:r>
            <w:r>
              <w:t xml:space="preserve">.  Please review the information and complete the registration for the course you or your staff would like to attend.  The registration deadline for these courses is </w:t>
            </w:r>
            <w:r w:rsidR="007853A4">
              <w:rPr>
                <w:b/>
              </w:rPr>
              <w:t>April 12</w:t>
            </w:r>
            <w:r w:rsidRPr="007853A4">
              <w:rPr>
                <w:b/>
              </w:rPr>
              <w:t>, 201</w:t>
            </w:r>
            <w:r w:rsidR="007853A4">
              <w:rPr>
                <w:b/>
              </w:rPr>
              <w:t>9</w:t>
            </w:r>
            <w:r>
              <w:t xml:space="preserve">.  </w:t>
            </w:r>
            <w:r>
              <w:rPr>
                <w:color w:val="000000"/>
              </w:rPr>
              <w:t xml:space="preserve"> </w:t>
            </w:r>
          </w:p>
        </w:tc>
      </w:tr>
    </w:tbl>
    <w:p w:rsidR="007853A4" w:rsidRDefault="007853A4" w:rsidP="007853A4">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1F4FF1" w:rsidTr="006E029D">
        <w:trPr>
          <w:cantSplit/>
        </w:trPr>
        <w:tc>
          <w:tcPr>
            <w:tcW w:w="1458" w:type="dxa"/>
          </w:tcPr>
          <w:p w:rsidR="001F4FF1" w:rsidRDefault="001F4FF1" w:rsidP="006E029D">
            <w:pPr>
              <w:pStyle w:val="Heading5"/>
            </w:pPr>
          </w:p>
          <w:p w:rsidR="001F4FF1" w:rsidRDefault="001F4FF1" w:rsidP="006E029D">
            <w:pPr>
              <w:pStyle w:val="Heading5"/>
            </w:pPr>
            <w:r>
              <w:t>Class Information</w:t>
            </w:r>
          </w:p>
        </w:tc>
        <w:tc>
          <w:tcPr>
            <w:tcW w:w="8730" w:type="dxa"/>
          </w:tcPr>
          <w:p w:rsidR="001F4FF1" w:rsidRPr="0096689D" w:rsidRDefault="001F4FF1" w:rsidP="006E029D">
            <w:pPr>
              <w:pStyle w:val="BlockText"/>
              <w:tabs>
                <w:tab w:val="left" w:pos="4554"/>
              </w:tabs>
              <w:ind w:left="162"/>
              <w:rPr>
                <w:sz w:val="28"/>
                <w:szCs w:val="28"/>
              </w:rPr>
            </w:pPr>
            <w:r>
              <w:t xml:space="preserve">Due to the interactive on-line requirements, the </w:t>
            </w:r>
            <w:r w:rsidRPr="00A13987">
              <w:rPr>
                <w:b/>
              </w:rPr>
              <w:t>CIPPS Introductory Payroll Training</w:t>
            </w:r>
            <w:r>
              <w:rPr>
                <w:b/>
              </w:rPr>
              <w:t xml:space="preserve"> and </w:t>
            </w:r>
            <w:r w:rsidRPr="006F7054">
              <w:rPr>
                <w:b/>
              </w:rPr>
              <w:t xml:space="preserve">Introductory Leave Accounting </w:t>
            </w:r>
            <w:r>
              <w:rPr>
                <w:b/>
              </w:rPr>
              <w:t>T</w:t>
            </w:r>
            <w:r w:rsidRPr="006F7054">
              <w:rPr>
                <w:b/>
              </w:rPr>
              <w:t>raining</w:t>
            </w:r>
            <w:r>
              <w:t xml:space="preserve"> will be held in the DOA Training Room and </w:t>
            </w:r>
            <w:r>
              <w:rPr>
                <w:i/>
              </w:rPr>
              <w:t>are limited to 16 students</w:t>
            </w:r>
            <w:r>
              <w:t>.  Therefore, we ask that agencies do not sign up numerous employees for the same class.  I</w:t>
            </w:r>
            <w:r w:rsidRPr="00225F15">
              <w:rPr>
                <w:b/>
              </w:rPr>
              <w:t xml:space="preserve">t is imperative that attendees have keyboard experience and should have spent some time navigating through the CIPPS screens. </w:t>
            </w:r>
            <w:r>
              <w:t xml:space="preserve">If you are not directly responsible for processing but </w:t>
            </w:r>
            <w:r w:rsidRPr="004E7B9F">
              <w:rPr>
                <w:i/>
              </w:rPr>
              <w:t>oversee the function</w:t>
            </w:r>
            <w:r>
              <w:rPr>
                <w:i/>
              </w:rPr>
              <w:t>,</w:t>
            </w:r>
            <w:r>
              <w:t xml:space="preserve"> you can contact State Payroll Operations (</w:t>
            </w:r>
            <w:hyperlink r:id="rId10" w:history="1">
              <w:r w:rsidRPr="00A652CD">
                <w:rPr>
                  <w:rStyle w:val="Hyperlink"/>
                </w:rPr>
                <w:t>payroll@doa.virginia.gov</w:t>
              </w:r>
            </w:hyperlink>
            <w:r>
              <w:t>) to discuss the option to audit the class without hands-on access.  The courses are not open to the General Public.</w:t>
            </w:r>
          </w:p>
        </w:tc>
      </w:tr>
    </w:tbl>
    <w:p w:rsidR="001F4FF1" w:rsidRDefault="001F4FF1" w:rsidP="001F4FF1">
      <w:pPr>
        <w:pStyle w:val="BlockLine"/>
        <w:ind w:left="1620"/>
      </w:pPr>
    </w:p>
    <w:tbl>
      <w:tblPr>
        <w:tblW w:w="10188" w:type="dxa"/>
        <w:tblLayout w:type="fixed"/>
        <w:tblLook w:val="0000" w:firstRow="0" w:lastRow="0" w:firstColumn="0" w:lastColumn="0" w:noHBand="0" w:noVBand="0"/>
      </w:tblPr>
      <w:tblGrid>
        <w:gridCol w:w="1458"/>
        <w:gridCol w:w="8730"/>
      </w:tblGrid>
      <w:tr w:rsidR="001F4FF1" w:rsidTr="006E029D">
        <w:trPr>
          <w:cantSplit/>
        </w:trPr>
        <w:tc>
          <w:tcPr>
            <w:tcW w:w="1458" w:type="dxa"/>
          </w:tcPr>
          <w:p w:rsidR="001F4FF1" w:rsidRDefault="001F4FF1" w:rsidP="006E029D">
            <w:pPr>
              <w:pStyle w:val="Heading5"/>
            </w:pPr>
          </w:p>
          <w:p w:rsidR="001F4FF1" w:rsidRDefault="001F4FF1" w:rsidP="006E029D">
            <w:pPr>
              <w:pStyle w:val="Heading5"/>
            </w:pPr>
            <w:r>
              <w:t>Registration</w:t>
            </w:r>
          </w:p>
        </w:tc>
        <w:tc>
          <w:tcPr>
            <w:tcW w:w="8730" w:type="dxa"/>
          </w:tcPr>
          <w:p w:rsidR="001F4FF1" w:rsidRDefault="001F4FF1" w:rsidP="006E029D">
            <w:pPr>
              <w:pStyle w:val="BlockText"/>
              <w:tabs>
                <w:tab w:val="left" w:pos="4554"/>
              </w:tabs>
              <w:ind w:left="162"/>
            </w:pPr>
            <w:r>
              <w:t>To register for CIPPS Introductory Payroll Training, click the following link:</w:t>
            </w:r>
          </w:p>
          <w:p w:rsidR="001F4FF1" w:rsidRDefault="001F4FF1" w:rsidP="006E029D">
            <w:pPr>
              <w:pStyle w:val="BlockText"/>
              <w:tabs>
                <w:tab w:val="left" w:pos="4554"/>
              </w:tabs>
              <w:ind w:left="162"/>
            </w:pPr>
          </w:p>
          <w:p w:rsidR="001F4FF1" w:rsidRDefault="001555C4" w:rsidP="006E029D">
            <w:pPr>
              <w:pStyle w:val="BlockText"/>
              <w:tabs>
                <w:tab w:val="left" w:pos="4554"/>
              </w:tabs>
              <w:ind w:left="162"/>
            </w:pPr>
            <w:hyperlink r:id="rId11" w:tgtFrame="_blank" w:history="1">
              <w:r w:rsidR="001F4FF1">
                <w:rPr>
                  <w:rStyle w:val="Hyperlink"/>
                  <w:rFonts w:ascii="Helvetica" w:hAnsi="Helvetica" w:cs="Helvetica"/>
                  <w:color w:val="3D64FF"/>
                  <w:sz w:val="26"/>
                  <w:szCs w:val="26"/>
                  <w:shd w:val="clear" w:color="auto" w:fill="FFFFFF"/>
                </w:rPr>
                <w:t>https://www.eventbrite.com/e/cipps-introductory-payroll-training-tickets-58435482100</w:t>
              </w:r>
            </w:hyperlink>
          </w:p>
          <w:p w:rsidR="001F4FF1" w:rsidRDefault="001F4FF1" w:rsidP="006E029D">
            <w:pPr>
              <w:pStyle w:val="BlockText"/>
              <w:tabs>
                <w:tab w:val="left" w:pos="4554"/>
              </w:tabs>
              <w:ind w:left="162"/>
            </w:pPr>
          </w:p>
          <w:p w:rsidR="001F4FF1" w:rsidRDefault="001F4FF1" w:rsidP="006E029D">
            <w:pPr>
              <w:pStyle w:val="BlockText"/>
              <w:tabs>
                <w:tab w:val="left" w:pos="4554"/>
              </w:tabs>
              <w:ind w:left="162"/>
            </w:pPr>
            <w:r>
              <w:t>To register for CIPPS Introductory Leave Training, click the following link:</w:t>
            </w:r>
          </w:p>
          <w:p w:rsidR="001F4FF1" w:rsidRDefault="001F4FF1" w:rsidP="006E029D">
            <w:pPr>
              <w:pStyle w:val="BlockText"/>
              <w:tabs>
                <w:tab w:val="left" w:pos="4554"/>
              </w:tabs>
              <w:ind w:left="162"/>
            </w:pPr>
          </w:p>
          <w:p w:rsidR="00EB26E9" w:rsidRDefault="001555C4" w:rsidP="006E029D">
            <w:pPr>
              <w:pStyle w:val="BlockText"/>
              <w:tabs>
                <w:tab w:val="left" w:pos="4554"/>
              </w:tabs>
              <w:ind w:left="162"/>
              <w:rPr>
                <w:rStyle w:val="Hyperlink"/>
                <w:rFonts w:ascii="Helvetica" w:hAnsi="Helvetica" w:cs="Helvetica"/>
                <w:color w:val="3D64FF"/>
                <w:sz w:val="26"/>
                <w:szCs w:val="26"/>
                <w:shd w:val="clear" w:color="auto" w:fill="FFFFFF"/>
              </w:rPr>
            </w:pPr>
            <w:hyperlink r:id="rId12" w:tgtFrame="_blank" w:history="1">
              <w:r w:rsidR="001F4FF1">
                <w:rPr>
                  <w:rStyle w:val="Hyperlink"/>
                  <w:rFonts w:ascii="Helvetica" w:hAnsi="Helvetica" w:cs="Helvetica"/>
                  <w:color w:val="3D64FF"/>
                  <w:sz w:val="26"/>
                  <w:szCs w:val="26"/>
                  <w:shd w:val="clear" w:color="auto" w:fill="FFFFFF"/>
                </w:rPr>
                <w:t>https://www.eventbrite.com/e/cipps-introductory-leave-training-tickets-58435719811</w:t>
              </w:r>
            </w:hyperlink>
          </w:p>
          <w:p w:rsidR="00EB26E9" w:rsidRDefault="00EB26E9" w:rsidP="006E029D">
            <w:pPr>
              <w:pStyle w:val="BlockText"/>
              <w:tabs>
                <w:tab w:val="left" w:pos="4554"/>
              </w:tabs>
              <w:ind w:left="162"/>
              <w:rPr>
                <w:rStyle w:val="Hyperlink"/>
                <w:rFonts w:ascii="Helvetica" w:hAnsi="Helvetica" w:cs="Helvetica"/>
                <w:color w:val="3D64FF"/>
                <w:sz w:val="26"/>
                <w:szCs w:val="26"/>
                <w:shd w:val="clear" w:color="auto" w:fill="FFFFFF"/>
              </w:rPr>
            </w:pPr>
          </w:p>
          <w:p w:rsidR="001F4FF1" w:rsidRPr="0096689D" w:rsidRDefault="00EB26E9" w:rsidP="00EB26E9">
            <w:pPr>
              <w:pStyle w:val="BlockText"/>
              <w:tabs>
                <w:tab w:val="left" w:pos="4554"/>
              </w:tabs>
              <w:ind w:left="162"/>
              <w:jc w:val="center"/>
              <w:rPr>
                <w:sz w:val="28"/>
                <w:szCs w:val="28"/>
              </w:rPr>
            </w:pPr>
            <w:r>
              <w:rPr>
                <w:b/>
              </w:rPr>
              <w:t>Register early as classes fill up quickly.</w:t>
            </w:r>
            <w:r w:rsidR="001F4FF1">
              <w:br/>
            </w:r>
          </w:p>
        </w:tc>
      </w:tr>
    </w:tbl>
    <w:p w:rsidR="001F4FF1" w:rsidRDefault="001F4FF1" w:rsidP="001F4FF1">
      <w:pPr>
        <w:pStyle w:val="BlockLine"/>
        <w:ind w:left="1620"/>
      </w:pPr>
    </w:p>
    <w:p w:rsidR="001F4FF1" w:rsidRDefault="001F4FF1" w:rsidP="001F4FF1">
      <w:pPr>
        <w:pStyle w:val="Heading4"/>
        <w:rPr>
          <w:b w:val="0"/>
          <w:sz w:val="28"/>
          <w:szCs w:val="28"/>
        </w:rPr>
      </w:pPr>
      <w:r>
        <w:rPr>
          <w:sz w:val="28"/>
          <w:szCs w:val="28"/>
        </w:rPr>
        <w:lastRenderedPageBreak/>
        <w:t xml:space="preserve">CIPPS </w:t>
      </w:r>
      <w:r w:rsidRPr="004E7B9F">
        <w:rPr>
          <w:sz w:val="28"/>
          <w:szCs w:val="28"/>
        </w:rPr>
        <w:t>Training Courses</w:t>
      </w:r>
      <w:r>
        <w:rPr>
          <w:sz w:val="28"/>
          <w:szCs w:val="28"/>
        </w:rPr>
        <w:t xml:space="preserve">, </w:t>
      </w:r>
      <w:r w:rsidRPr="00C50FDD">
        <w:rPr>
          <w:szCs w:val="24"/>
        </w:rPr>
        <w:t>continued</w:t>
      </w:r>
    </w:p>
    <w:p w:rsidR="001F4FF1" w:rsidRDefault="001F4FF1" w:rsidP="001F4FF1">
      <w:pPr>
        <w:pStyle w:val="BlockLine"/>
        <w:ind w:left="1350"/>
        <w:rPr>
          <w:sz w:val="16"/>
          <w:szCs w:val="16"/>
        </w:rPr>
      </w:pPr>
    </w:p>
    <w:tbl>
      <w:tblPr>
        <w:tblW w:w="10188" w:type="dxa"/>
        <w:tblLayout w:type="fixed"/>
        <w:tblLook w:val="0000" w:firstRow="0" w:lastRow="0" w:firstColumn="0" w:lastColumn="0" w:noHBand="0" w:noVBand="0"/>
      </w:tblPr>
      <w:tblGrid>
        <w:gridCol w:w="1728"/>
        <w:gridCol w:w="8460"/>
      </w:tblGrid>
      <w:tr w:rsidR="007853A4" w:rsidTr="00471E1E">
        <w:trPr>
          <w:cantSplit/>
        </w:trPr>
        <w:tc>
          <w:tcPr>
            <w:tcW w:w="1728" w:type="dxa"/>
          </w:tcPr>
          <w:p w:rsidR="007853A4" w:rsidRDefault="007853A4" w:rsidP="00471E1E">
            <w:pPr>
              <w:pStyle w:val="Heading5"/>
            </w:pPr>
            <w:r>
              <w:t>CIPPS Introductory Payroll Training</w:t>
            </w:r>
          </w:p>
        </w:tc>
        <w:tc>
          <w:tcPr>
            <w:tcW w:w="8460" w:type="dxa"/>
          </w:tcPr>
          <w:p w:rsidR="007853A4" w:rsidRDefault="007853A4" w:rsidP="00471E1E">
            <w:r>
              <w:t xml:space="preserve">The Interactive CIPPS Introductory Payroll/Leave Training courses accommodate agency personnel who have </w:t>
            </w:r>
            <w:r w:rsidRPr="00FA4CF0">
              <w:t>limited CIPPS experience</w:t>
            </w:r>
            <w:r>
              <w:t xml:space="preserve"> and are </w:t>
            </w:r>
            <w:r w:rsidRPr="00FA4CF0">
              <w:rPr>
                <w:b/>
              </w:rPr>
              <w:t>directly responsible</w:t>
            </w:r>
            <w:r>
              <w:t xml:space="preserve"> for processing payroll or leave.  The courses will follow a lecture/on-line example format with the lecture focused on CAPP topic material.</w:t>
            </w:r>
          </w:p>
          <w:p w:rsidR="007853A4" w:rsidRDefault="007853A4" w:rsidP="00471E1E"/>
          <w:p w:rsidR="007853A4" w:rsidRPr="0030537C" w:rsidRDefault="007853A4" w:rsidP="00471E1E">
            <w:r w:rsidRPr="00DC4EBA">
              <w:t xml:space="preserve">All attendees are required to bring the current version of the Introductory CIPPS Training Manual (Modules 1 – </w:t>
            </w:r>
            <w:r>
              <w:t>6</w:t>
            </w:r>
            <w:r w:rsidRPr="00DC4EBA">
              <w:t xml:space="preserve">) </w:t>
            </w:r>
            <w:r>
              <w:t>up</w:t>
            </w:r>
            <w:r w:rsidRPr="00DC4EBA">
              <w:t xml:space="preserve">dated </w:t>
            </w:r>
            <w:r>
              <w:t>October 2016</w:t>
            </w:r>
            <w:r w:rsidRPr="00DC4EBA">
              <w:t xml:space="preserve"> to class.  </w:t>
            </w:r>
            <w:r w:rsidRPr="00FB6AF2">
              <w:t>Copies will not be furnished</w:t>
            </w:r>
            <w:r>
              <w:rPr>
                <w:bCs/>
                <w:sz w:val="20"/>
              </w:rPr>
              <w:t xml:space="preserve">.    </w:t>
            </w:r>
            <w:r w:rsidRPr="0030537C">
              <w:t>To print the training manual go to:</w:t>
            </w:r>
          </w:p>
          <w:p w:rsidR="007853A4" w:rsidRDefault="007853A4" w:rsidP="00471E1E">
            <w:pPr>
              <w:rPr>
                <w:bCs/>
                <w:sz w:val="20"/>
              </w:rPr>
            </w:pPr>
          </w:p>
          <w:p w:rsidR="007853A4" w:rsidRPr="00A13987" w:rsidRDefault="001555C4" w:rsidP="00471E1E">
            <w:pPr>
              <w:rPr>
                <w:color w:val="091BFF"/>
                <w:szCs w:val="24"/>
              </w:rPr>
            </w:pPr>
            <w:hyperlink r:id="rId13" w:history="1">
              <w:r w:rsidR="007853A4" w:rsidRPr="00C97D14">
                <w:rPr>
                  <w:rStyle w:val="Hyperlink"/>
                  <w:b/>
                  <w:bCs/>
                  <w:sz w:val="20"/>
                </w:rPr>
                <w:t>https://www.doa.virginia.gov/reference/payroll/CIPPS_Training_Manual.shtml</w:t>
              </w:r>
            </w:hyperlink>
          </w:p>
          <w:p w:rsidR="007853A4" w:rsidRDefault="007853A4" w:rsidP="00471E1E"/>
          <w:p w:rsidR="007853A4" w:rsidRDefault="007853A4" w:rsidP="00471E1E">
            <w:pPr>
              <w:tabs>
                <w:tab w:val="left" w:pos="2520"/>
              </w:tabs>
              <w:ind w:right="-720"/>
              <w:rPr>
                <w:b/>
              </w:rPr>
            </w:pPr>
            <w:r>
              <w:rPr>
                <w:b/>
              </w:rPr>
              <w:t xml:space="preserve">Course Format:          </w:t>
            </w:r>
            <w:r w:rsidRPr="005F4969">
              <w:t>On-site</w:t>
            </w:r>
            <w:r>
              <w:rPr>
                <w:b/>
              </w:rPr>
              <w:t xml:space="preserve"> </w:t>
            </w:r>
            <w:r>
              <w:t>Lecture/Data Entry Example Completion</w:t>
            </w:r>
          </w:p>
          <w:p w:rsidR="007853A4" w:rsidRDefault="007853A4" w:rsidP="00471E1E">
            <w:pPr>
              <w:tabs>
                <w:tab w:val="left" w:pos="2520"/>
              </w:tabs>
              <w:ind w:right="-720"/>
              <w:rPr>
                <w:b/>
              </w:rPr>
            </w:pPr>
          </w:p>
          <w:p w:rsidR="007853A4" w:rsidRDefault="007853A4" w:rsidP="00471E1E">
            <w:pPr>
              <w:tabs>
                <w:tab w:val="left" w:pos="2520"/>
              </w:tabs>
              <w:ind w:right="-720"/>
            </w:pPr>
            <w:r>
              <w:rPr>
                <w:b/>
              </w:rPr>
              <w:t xml:space="preserve">Course Length:          </w:t>
            </w:r>
            <w:r w:rsidRPr="000121F9">
              <w:t>Three</w:t>
            </w:r>
            <w:r>
              <w:t xml:space="preserve"> full days (8:45 AM to 5:00 PM each day)</w:t>
            </w:r>
          </w:p>
          <w:p w:rsidR="007853A4" w:rsidRDefault="007853A4" w:rsidP="00471E1E">
            <w:pPr>
              <w:tabs>
                <w:tab w:val="left" w:pos="2520"/>
              </w:tabs>
              <w:ind w:left="2160" w:right="-180" w:hanging="2160"/>
            </w:pPr>
            <w:r>
              <w:tab/>
            </w:r>
          </w:p>
          <w:p w:rsidR="007853A4" w:rsidRDefault="007853A4" w:rsidP="00471E1E">
            <w:pPr>
              <w:ind w:left="2160" w:hanging="2160"/>
              <w:rPr>
                <w:b/>
              </w:rPr>
            </w:pPr>
            <w:r>
              <w:rPr>
                <w:b/>
              </w:rPr>
              <w:t>Date Offered:</w:t>
            </w:r>
            <w:r>
              <w:t xml:space="preserve">  </w:t>
            </w:r>
            <w:r>
              <w:tab/>
              <w:t xml:space="preserve"> </w:t>
            </w:r>
            <w:r w:rsidR="00D45AC8">
              <w:rPr>
                <w:b/>
              </w:rPr>
              <w:t>April 15-17, 2019</w:t>
            </w:r>
          </w:p>
          <w:p w:rsidR="007853A4" w:rsidRDefault="007853A4" w:rsidP="00471E1E">
            <w:pPr>
              <w:ind w:left="2160" w:hanging="2160"/>
            </w:pPr>
            <w:r>
              <w:tab/>
            </w:r>
          </w:p>
          <w:p w:rsidR="007853A4" w:rsidRDefault="007853A4" w:rsidP="00471E1E">
            <w:pPr>
              <w:ind w:left="2160" w:right="-900" w:hanging="2160"/>
            </w:pPr>
            <w:r>
              <w:rPr>
                <w:b/>
              </w:rPr>
              <w:t>Course Locations:</w:t>
            </w:r>
            <w:r>
              <w:tab/>
              <w:t xml:space="preserve">  DOA Training Room - 2</w:t>
            </w:r>
            <w:r>
              <w:rPr>
                <w:vertAlign w:val="superscript"/>
              </w:rPr>
              <w:t>nd</w:t>
            </w:r>
            <w:r>
              <w:t xml:space="preserve"> Floor, James Monroe Bldg.</w:t>
            </w:r>
          </w:p>
          <w:p w:rsidR="007853A4" w:rsidRDefault="007853A4" w:rsidP="00471E1E">
            <w:pPr>
              <w:ind w:left="2160" w:hanging="2160"/>
              <w:rPr>
                <w:b/>
              </w:rPr>
            </w:pPr>
          </w:p>
          <w:p w:rsidR="007853A4" w:rsidRDefault="007853A4" w:rsidP="00471E1E">
            <w:pPr>
              <w:pStyle w:val="BlockText"/>
            </w:pPr>
            <w:r>
              <w:rPr>
                <w:b/>
              </w:rPr>
              <w:t>Targeted Audience:</w:t>
            </w:r>
            <w:r>
              <w:tab/>
              <w:t xml:space="preserve">  Agency personnel who have not previously attended formal CIPPS Payroll training </w:t>
            </w:r>
            <w:r>
              <w:rPr>
                <w:i/>
              </w:rPr>
              <w:t>and</w:t>
            </w:r>
            <w:r>
              <w:t xml:space="preserve"> are directly responsible for processing payroll.</w:t>
            </w:r>
          </w:p>
          <w:p w:rsidR="007853A4" w:rsidRDefault="007853A4" w:rsidP="00471E1E">
            <w:pPr>
              <w:pStyle w:val="BlockText"/>
            </w:pPr>
          </w:p>
        </w:tc>
      </w:tr>
      <w:tr w:rsidR="007853A4" w:rsidTr="00471E1E">
        <w:trPr>
          <w:cantSplit/>
        </w:trPr>
        <w:tc>
          <w:tcPr>
            <w:tcW w:w="1728" w:type="dxa"/>
          </w:tcPr>
          <w:p w:rsidR="007853A4" w:rsidRDefault="007853A4" w:rsidP="00471E1E">
            <w:pPr>
              <w:pStyle w:val="Heading5"/>
            </w:pPr>
            <w:r>
              <w:br w:type="page"/>
            </w:r>
          </w:p>
        </w:tc>
        <w:tc>
          <w:tcPr>
            <w:tcW w:w="8460" w:type="dxa"/>
          </w:tcPr>
          <w:p w:rsidR="007853A4" w:rsidRDefault="007853A4" w:rsidP="00471E1E">
            <w:pPr>
              <w:ind w:left="2052" w:hanging="2052"/>
              <w:jc w:val="both"/>
              <w:rPr>
                <w:i/>
              </w:rPr>
            </w:pPr>
            <w:r>
              <w:rPr>
                <w:b/>
              </w:rPr>
              <w:t>Course Synopsis:</w:t>
            </w:r>
            <w:r>
              <w:tab/>
            </w:r>
            <w:r>
              <w:rPr>
                <w:b/>
              </w:rPr>
              <w:t xml:space="preserve">Day 1 – </w:t>
            </w:r>
            <w:r>
              <w:t xml:space="preserve">Performing Maintenance to Employee Records; Deduction Maintenance and Garnishments. </w:t>
            </w:r>
            <w:r>
              <w:tab/>
            </w:r>
          </w:p>
          <w:p w:rsidR="007853A4" w:rsidRDefault="007853A4" w:rsidP="00471E1E">
            <w:pPr>
              <w:ind w:left="2052" w:hanging="2142"/>
            </w:pPr>
            <w:r>
              <w:tab/>
            </w:r>
            <w:r>
              <w:rPr>
                <w:b/>
              </w:rPr>
              <w:t xml:space="preserve">Day 2 – </w:t>
            </w:r>
            <w:r>
              <w:t>Adding A New Employee Record; Batch Entry Processing.</w:t>
            </w:r>
          </w:p>
          <w:p w:rsidR="007853A4" w:rsidRDefault="007853A4" w:rsidP="00471E1E">
            <w:pPr>
              <w:ind w:left="2052" w:hanging="2142"/>
            </w:pPr>
            <w:r>
              <w:t xml:space="preserve">                                    </w:t>
            </w:r>
            <w:r w:rsidRPr="00F04E94">
              <w:rPr>
                <w:b/>
              </w:rPr>
              <w:t>Day 3</w:t>
            </w:r>
            <w:r>
              <w:t xml:space="preserve"> – Special Payments; Error Corrections and Edit Requests; Employee Refunds and Manual Pay Adjustments; Payroll Reporting Systems and Certification Review</w:t>
            </w:r>
          </w:p>
          <w:p w:rsidR="007853A4" w:rsidRDefault="007853A4" w:rsidP="00471E1E">
            <w:pPr>
              <w:ind w:left="2052" w:hanging="2142"/>
            </w:pPr>
          </w:p>
          <w:p w:rsidR="007853A4" w:rsidRDefault="007853A4" w:rsidP="00471E1E">
            <w:pPr>
              <w:ind w:left="2052" w:hanging="2142"/>
              <w:jc w:val="both"/>
              <w:rPr>
                <w:b/>
              </w:rPr>
            </w:pPr>
            <w:r>
              <w:rPr>
                <w:b/>
              </w:rPr>
              <w:t xml:space="preserve">  Maximum Attendees:</w:t>
            </w:r>
            <w:r>
              <w:tab/>
              <w:t xml:space="preserve"> </w:t>
            </w:r>
            <w:r>
              <w:rPr>
                <w:b/>
              </w:rPr>
              <w:t>16 students</w:t>
            </w:r>
          </w:p>
          <w:p w:rsidR="007853A4" w:rsidRDefault="007853A4" w:rsidP="00471E1E">
            <w:pPr>
              <w:ind w:left="2052" w:hanging="2142"/>
              <w:jc w:val="both"/>
            </w:pPr>
          </w:p>
        </w:tc>
      </w:tr>
    </w:tbl>
    <w:p w:rsidR="00B16382" w:rsidRDefault="00B16382" w:rsidP="00B16382"/>
    <w:p w:rsidR="007853A4" w:rsidRDefault="007853A4" w:rsidP="007853A4">
      <w:pPr>
        <w:pStyle w:val="BlockLine"/>
        <w:ind w:left="1620"/>
      </w:pPr>
    </w:p>
    <w:p w:rsidR="007853A4" w:rsidRDefault="007853A4" w:rsidP="007853A4"/>
    <w:p w:rsidR="007853A4" w:rsidRDefault="007853A4" w:rsidP="007853A4"/>
    <w:p w:rsidR="007853A4" w:rsidRDefault="007853A4" w:rsidP="007853A4"/>
    <w:p w:rsidR="007853A4" w:rsidRDefault="007853A4" w:rsidP="007853A4"/>
    <w:p w:rsidR="007853A4" w:rsidRDefault="007853A4" w:rsidP="007853A4"/>
    <w:p w:rsidR="001F4FF1" w:rsidRDefault="001F4FF1" w:rsidP="007853A4">
      <w:pPr>
        <w:pStyle w:val="Heading4"/>
        <w:rPr>
          <w:sz w:val="28"/>
          <w:szCs w:val="28"/>
        </w:rPr>
      </w:pPr>
    </w:p>
    <w:p w:rsidR="001F4FF1" w:rsidRDefault="001F4FF1" w:rsidP="007853A4">
      <w:pPr>
        <w:pStyle w:val="Heading4"/>
        <w:rPr>
          <w:sz w:val="28"/>
          <w:szCs w:val="28"/>
        </w:rPr>
      </w:pPr>
    </w:p>
    <w:p w:rsidR="001F4FF1" w:rsidRDefault="001F4FF1" w:rsidP="007853A4">
      <w:pPr>
        <w:pStyle w:val="Heading4"/>
        <w:rPr>
          <w:sz w:val="28"/>
          <w:szCs w:val="28"/>
        </w:rPr>
      </w:pPr>
    </w:p>
    <w:p w:rsidR="001F4FF1" w:rsidRDefault="001F4FF1" w:rsidP="007853A4">
      <w:pPr>
        <w:pStyle w:val="Heading4"/>
        <w:rPr>
          <w:sz w:val="28"/>
          <w:szCs w:val="28"/>
        </w:rPr>
      </w:pPr>
    </w:p>
    <w:p w:rsidR="001F4FF1" w:rsidRDefault="001F4FF1" w:rsidP="007853A4">
      <w:pPr>
        <w:pStyle w:val="Heading4"/>
        <w:rPr>
          <w:sz w:val="28"/>
          <w:szCs w:val="28"/>
        </w:rPr>
      </w:pPr>
    </w:p>
    <w:p w:rsidR="001F4FF1" w:rsidRDefault="001F4FF1" w:rsidP="007853A4">
      <w:pPr>
        <w:pStyle w:val="Heading4"/>
        <w:rPr>
          <w:sz w:val="28"/>
          <w:szCs w:val="28"/>
        </w:rPr>
      </w:pPr>
    </w:p>
    <w:p w:rsidR="007853A4" w:rsidRDefault="007853A4" w:rsidP="007853A4">
      <w:pPr>
        <w:pStyle w:val="Heading4"/>
        <w:rPr>
          <w:b w:val="0"/>
          <w:sz w:val="28"/>
          <w:szCs w:val="28"/>
        </w:rPr>
      </w:pPr>
      <w:r>
        <w:rPr>
          <w:sz w:val="28"/>
          <w:szCs w:val="28"/>
        </w:rPr>
        <w:lastRenderedPageBreak/>
        <w:t xml:space="preserve">CIPPS </w:t>
      </w:r>
      <w:r w:rsidRPr="004E7B9F">
        <w:rPr>
          <w:sz w:val="28"/>
          <w:szCs w:val="28"/>
        </w:rPr>
        <w:t>Training Courses</w:t>
      </w:r>
      <w:r>
        <w:rPr>
          <w:sz w:val="28"/>
          <w:szCs w:val="28"/>
        </w:rPr>
        <w:t xml:space="preserve">, </w:t>
      </w:r>
      <w:r w:rsidRPr="00C50FDD">
        <w:rPr>
          <w:szCs w:val="24"/>
        </w:rPr>
        <w:t>continued</w:t>
      </w:r>
    </w:p>
    <w:p w:rsidR="007853A4" w:rsidRPr="00C50FDD" w:rsidRDefault="007853A4" w:rsidP="007853A4">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7853A4" w:rsidTr="00471E1E">
        <w:trPr>
          <w:cantSplit/>
        </w:trPr>
        <w:tc>
          <w:tcPr>
            <w:tcW w:w="1728" w:type="dxa"/>
          </w:tcPr>
          <w:p w:rsidR="007853A4" w:rsidRDefault="007853A4" w:rsidP="00471E1E">
            <w:pPr>
              <w:pStyle w:val="Heading5"/>
            </w:pPr>
            <w:r>
              <w:t>CIPPS Introductory Leave Training</w:t>
            </w:r>
          </w:p>
          <w:p w:rsidR="007853A4" w:rsidRPr="00C97D14" w:rsidRDefault="007853A4" w:rsidP="00471E1E"/>
        </w:tc>
        <w:tc>
          <w:tcPr>
            <w:tcW w:w="8460" w:type="dxa"/>
          </w:tcPr>
          <w:p w:rsidR="007853A4" w:rsidRDefault="007853A4" w:rsidP="00471E1E">
            <w:pPr>
              <w:tabs>
                <w:tab w:val="left" w:pos="2520"/>
              </w:tabs>
              <w:ind w:right="-720"/>
              <w:rPr>
                <w:b/>
              </w:rPr>
            </w:pPr>
            <w:r>
              <w:rPr>
                <w:b/>
              </w:rPr>
              <w:t xml:space="preserve">Course Format:         </w:t>
            </w:r>
            <w:r w:rsidRPr="005F4969">
              <w:t>On-site</w:t>
            </w:r>
            <w:r>
              <w:rPr>
                <w:b/>
              </w:rPr>
              <w:t xml:space="preserve"> </w:t>
            </w:r>
            <w:r>
              <w:t>Lecture/Data Entry Example Completion</w:t>
            </w:r>
          </w:p>
          <w:p w:rsidR="007853A4" w:rsidRDefault="007853A4" w:rsidP="00471E1E">
            <w:pPr>
              <w:ind w:left="2160" w:hanging="2160"/>
              <w:rPr>
                <w:b/>
                <w:u w:val="single"/>
              </w:rPr>
            </w:pPr>
          </w:p>
          <w:p w:rsidR="007853A4" w:rsidRDefault="007853A4" w:rsidP="00471E1E">
            <w:pPr>
              <w:tabs>
                <w:tab w:val="left" w:pos="2520"/>
              </w:tabs>
              <w:ind w:left="2160" w:right="-180" w:hanging="2160"/>
            </w:pPr>
            <w:r>
              <w:rPr>
                <w:b/>
              </w:rPr>
              <w:t>Course Length:</w:t>
            </w:r>
            <w:r>
              <w:tab/>
              <w:t>One full day (8:45 AM to 5:00 PM)</w:t>
            </w:r>
          </w:p>
          <w:p w:rsidR="007853A4" w:rsidRDefault="007853A4" w:rsidP="00471E1E">
            <w:pPr>
              <w:tabs>
                <w:tab w:val="left" w:pos="2520"/>
              </w:tabs>
              <w:ind w:left="2160" w:hanging="2160"/>
            </w:pPr>
          </w:p>
          <w:p w:rsidR="007853A4" w:rsidRDefault="007853A4" w:rsidP="00471E1E">
            <w:pPr>
              <w:ind w:left="2160" w:hanging="2160"/>
              <w:rPr>
                <w:b/>
              </w:rPr>
            </w:pPr>
            <w:r>
              <w:rPr>
                <w:b/>
              </w:rPr>
              <w:t>Date Offered:</w:t>
            </w:r>
            <w:r>
              <w:t xml:space="preserve">  </w:t>
            </w:r>
            <w:r>
              <w:tab/>
            </w:r>
            <w:r w:rsidR="00D45AC8">
              <w:rPr>
                <w:b/>
              </w:rPr>
              <w:t>April 18, 2019</w:t>
            </w:r>
          </w:p>
          <w:p w:rsidR="007853A4" w:rsidRDefault="007853A4" w:rsidP="00471E1E">
            <w:pPr>
              <w:ind w:left="2160" w:hanging="2160"/>
            </w:pPr>
          </w:p>
          <w:p w:rsidR="007853A4" w:rsidRDefault="007853A4" w:rsidP="00471E1E">
            <w:pPr>
              <w:ind w:left="2160" w:right="-180" w:hanging="2160"/>
            </w:pPr>
            <w:r>
              <w:rPr>
                <w:b/>
              </w:rPr>
              <w:t>Course Location:</w:t>
            </w:r>
            <w:r>
              <w:tab/>
              <w:t>DOA Training Room - Second Floor, James Monroe Building</w:t>
            </w:r>
          </w:p>
          <w:p w:rsidR="007853A4" w:rsidRDefault="007853A4" w:rsidP="00471E1E">
            <w:pPr>
              <w:tabs>
                <w:tab w:val="left" w:pos="2520"/>
              </w:tabs>
              <w:ind w:left="2160" w:hanging="2160"/>
            </w:pPr>
          </w:p>
          <w:p w:rsidR="007853A4" w:rsidRDefault="007853A4" w:rsidP="00471E1E">
            <w:pPr>
              <w:tabs>
                <w:tab w:val="left" w:pos="1440"/>
                <w:tab w:val="left" w:pos="2232"/>
              </w:tabs>
              <w:jc w:val="both"/>
            </w:pPr>
            <w:r>
              <w:rPr>
                <w:b/>
              </w:rPr>
              <w:t>Targeted Audience:</w:t>
            </w:r>
            <w:r>
              <w:t xml:space="preserve"> Agency personnel who have not previously attended formal CIPPS Leave training and are directly responsible for Leave Accounting. </w:t>
            </w:r>
          </w:p>
          <w:p w:rsidR="00710C7B" w:rsidRDefault="00710C7B" w:rsidP="00471E1E">
            <w:pPr>
              <w:tabs>
                <w:tab w:val="left" w:pos="1440"/>
                <w:tab w:val="left" w:pos="2232"/>
              </w:tabs>
              <w:jc w:val="both"/>
            </w:pPr>
          </w:p>
          <w:p w:rsidR="007853A4" w:rsidRDefault="007853A4" w:rsidP="00471E1E">
            <w:pPr>
              <w:spacing w:before="60"/>
            </w:pPr>
            <w:r>
              <w:rPr>
                <w:b/>
              </w:rPr>
              <w:t xml:space="preserve">Leave Manual:  </w:t>
            </w:r>
            <w:r w:rsidRPr="00FB6714">
              <w:t>A</w:t>
            </w:r>
            <w:r w:rsidRPr="005F4969">
              <w:t>ttendees are required to bring a copy of the most recent CIPPS</w:t>
            </w:r>
            <w:r>
              <w:t>-L</w:t>
            </w:r>
            <w:r w:rsidRPr="005F4969">
              <w:t>eave training manual</w:t>
            </w:r>
            <w:r>
              <w:t xml:space="preserve">.  </w:t>
            </w:r>
            <w:r w:rsidRPr="005F4969">
              <w:rPr>
                <w:i/>
              </w:rPr>
              <w:t>Copies will not be furnished</w:t>
            </w:r>
            <w:r w:rsidRPr="005F4969">
              <w:rPr>
                <w:bCs/>
                <w:sz w:val="20"/>
              </w:rPr>
              <w:t>.</w:t>
            </w:r>
            <w:r w:rsidR="00D45AC8">
              <w:rPr>
                <w:b/>
                <w:bCs/>
                <w:sz w:val="20"/>
              </w:rPr>
              <w:t xml:space="preserve">  </w:t>
            </w:r>
            <w:r w:rsidR="00D45AC8" w:rsidRPr="00D45AC8">
              <w:t>Prior to class, print the Introductory Leave Accounting Training Manual and Leave Accounting Reports available at the link below:</w:t>
            </w:r>
          </w:p>
          <w:p w:rsidR="007853A4" w:rsidRDefault="001555C4" w:rsidP="007853A4">
            <w:pPr>
              <w:spacing w:before="60"/>
              <w:jc w:val="center"/>
              <w:rPr>
                <w:rFonts w:ascii="Arial" w:hAnsi="Arial" w:cs="Arial"/>
                <w:color w:val="263238"/>
                <w:sz w:val="20"/>
              </w:rPr>
            </w:pPr>
            <w:hyperlink r:id="rId14" w:anchor="LEAVE" w:history="1">
              <w:r w:rsidR="007853A4" w:rsidRPr="00B113E9">
                <w:rPr>
                  <w:rStyle w:val="Hyperlink"/>
                  <w:rFonts w:ascii="Arial" w:hAnsi="Arial" w:cs="Arial"/>
                  <w:sz w:val="20"/>
                </w:rPr>
                <w:t>https://www.doa.virginia.gov/reference/payroll/index.shtml#LEAVE</w:t>
              </w:r>
            </w:hyperlink>
          </w:p>
          <w:p w:rsidR="007853A4" w:rsidRDefault="007853A4" w:rsidP="00471E1E">
            <w:pPr>
              <w:ind w:left="2052" w:hanging="2142"/>
              <w:jc w:val="both"/>
              <w:rPr>
                <w:rFonts w:ascii="Arial" w:hAnsi="Arial" w:cs="Arial"/>
                <w:color w:val="263238"/>
                <w:sz w:val="20"/>
              </w:rPr>
            </w:pPr>
            <w:r>
              <w:rPr>
                <w:rFonts w:ascii="Arial" w:hAnsi="Arial" w:cs="Arial"/>
                <w:color w:val="263238"/>
                <w:sz w:val="20"/>
              </w:rPr>
              <w:t> </w:t>
            </w:r>
          </w:p>
          <w:p w:rsidR="007853A4" w:rsidRPr="00CF4033" w:rsidRDefault="007853A4" w:rsidP="00471E1E">
            <w:pPr>
              <w:ind w:left="2052" w:hanging="2142"/>
              <w:jc w:val="both"/>
            </w:pPr>
            <w:r>
              <w:rPr>
                <w:b/>
              </w:rPr>
              <w:t>Maximum Attendees:</w:t>
            </w:r>
            <w:r>
              <w:tab/>
              <w:t xml:space="preserve"> </w:t>
            </w:r>
            <w:r>
              <w:rPr>
                <w:b/>
              </w:rPr>
              <w:t>16 students</w:t>
            </w:r>
          </w:p>
        </w:tc>
      </w:tr>
      <w:tr w:rsidR="007853A4" w:rsidTr="00471E1E">
        <w:trPr>
          <w:cantSplit/>
        </w:trPr>
        <w:tc>
          <w:tcPr>
            <w:tcW w:w="1728" w:type="dxa"/>
          </w:tcPr>
          <w:p w:rsidR="007853A4" w:rsidRPr="00C97D14" w:rsidRDefault="007853A4" w:rsidP="00471E1E"/>
        </w:tc>
        <w:tc>
          <w:tcPr>
            <w:tcW w:w="8460" w:type="dxa"/>
          </w:tcPr>
          <w:p w:rsidR="007853A4" w:rsidRPr="00CF4033" w:rsidRDefault="007853A4" w:rsidP="00471E1E">
            <w:pPr>
              <w:ind w:left="2052" w:hanging="2142"/>
              <w:jc w:val="both"/>
            </w:pPr>
          </w:p>
        </w:tc>
      </w:tr>
    </w:tbl>
    <w:p w:rsidR="00D55350" w:rsidRDefault="00D55350" w:rsidP="00D55350">
      <w:pPr>
        <w:pStyle w:val="BlockLine"/>
        <w:ind w:left="1350"/>
        <w:rPr>
          <w:sz w:val="16"/>
          <w:szCs w:val="16"/>
        </w:rPr>
      </w:pPr>
    </w:p>
    <w:p w:rsidR="00D55350" w:rsidRDefault="008C6A44" w:rsidP="00D55350">
      <w:pPr>
        <w:pStyle w:val="NormalWeb"/>
        <w:rPr>
          <w:b/>
          <w:bCs/>
          <w:color w:val="000000"/>
          <w:sz w:val="28"/>
          <w:szCs w:val="28"/>
        </w:rPr>
      </w:pPr>
      <w:r>
        <w:rPr>
          <w:b/>
          <w:bCs/>
          <w:color w:val="000000"/>
          <w:sz w:val="28"/>
          <w:szCs w:val="28"/>
        </w:rPr>
        <w:t xml:space="preserve">Attachment </w:t>
      </w:r>
      <w:r w:rsidR="00D55350">
        <w:rPr>
          <w:b/>
          <w:bCs/>
          <w:color w:val="000000"/>
          <w:sz w:val="28"/>
          <w:szCs w:val="28"/>
        </w:rPr>
        <w:t>HE-6 Optional Retirement Plans</w:t>
      </w:r>
      <w:r w:rsidR="00CE2915">
        <w:rPr>
          <w:b/>
          <w:bCs/>
          <w:color w:val="000000"/>
          <w:sz w:val="28"/>
          <w:szCs w:val="28"/>
        </w:rPr>
        <w:t xml:space="preserve"> Data Retrieval</w:t>
      </w:r>
    </w:p>
    <w:p w:rsidR="00D55350" w:rsidRDefault="00D55350" w:rsidP="00D55350">
      <w:pPr>
        <w:pStyle w:val="BlockLine"/>
        <w:ind w:left="1350"/>
        <w:rPr>
          <w:sz w:val="16"/>
          <w:szCs w:val="16"/>
        </w:rPr>
      </w:pPr>
    </w:p>
    <w:tbl>
      <w:tblPr>
        <w:tblW w:w="10980" w:type="dxa"/>
        <w:tblLayout w:type="fixed"/>
        <w:tblLook w:val="0000" w:firstRow="0" w:lastRow="0" w:firstColumn="0" w:lastColumn="0" w:noHBand="0" w:noVBand="0"/>
      </w:tblPr>
      <w:tblGrid>
        <w:gridCol w:w="1638"/>
        <w:gridCol w:w="9342"/>
      </w:tblGrid>
      <w:tr w:rsidR="00D55350" w:rsidTr="00471E1E">
        <w:trPr>
          <w:cantSplit/>
          <w:trHeight w:val="860"/>
        </w:trPr>
        <w:tc>
          <w:tcPr>
            <w:tcW w:w="1638" w:type="dxa"/>
          </w:tcPr>
          <w:p w:rsidR="00D55350" w:rsidRPr="00AD0F5A" w:rsidRDefault="00CE2915" w:rsidP="00471E1E">
            <w:pPr>
              <w:pStyle w:val="Heading5"/>
              <w:rPr>
                <w:szCs w:val="22"/>
              </w:rPr>
            </w:pPr>
            <w:r>
              <w:t>Change in Process</w:t>
            </w:r>
          </w:p>
        </w:tc>
        <w:tc>
          <w:tcPr>
            <w:tcW w:w="9342" w:type="dxa"/>
          </w:tcPr>
          <w:p w:rsidR="00D55350" w:rsidRPr="00025A98" w:rsidRDefault="008C6A44" w:rsidP="00CE2915">
            <w:pPr>
              <w:autoSpaceDE w:val="0"/>
              <w:autoSpaceDN w:val="0"/>
              <w:adjustRightInd w:val="0"/>
              <w:rPr>
                <w:color w:val="000000"/>
                <w:szCs w:val="24"/>
              </w:rPr>
            </w:pPr>
            <w:r>
              <w:rPr>
                <w:color w:val="000000"/>
                <w:szCs w:val="24"/>
              </w:rPr>
              <w:t>Each fiscal year</w:t>
            </w:r>
            <w:r w:rsidR="009333CC" w:rsidRPr="00025A98">
              <w:rPr>
                <w:color w:val="000000"/>
                <w:szCs w:val="24"/>
              </w:rPr>
              <w:t xml:space="preserve">, higher education </w:t>
            </w:r>
            <w:r>
              <w:rPr>
                <w:color w:val="000000"/>
                <w:szCs w:val="24"/>
              </w:rPr>
              <w:t>institutions</w:t>
            </w:r>
            <w:r w:rsidR="009333CC" w:rsidRPr="00025A98">
              <w:rPr>
                <w:color w:val="000000"/>
                <w:szCs w:val="24"/>
              </w:rPr>
              <w:t xml:space="preserve"> report </w:t>
            </w:r>
            <w:r w:rsidR="002E5874" w:rsidRPr="00025A98">
              <w:rPr>
                <w:color w:val="000000"/>
                <w:szCs w:val="24"/>
              </w:rPr>
              <w:t xml:space="preserve">employee and employer </w:t>
            </w:r>
            <w:r w:rsidR="009333CC" w:rsidRPr="00025A98">
              <w:rPr>
                <w:color w:val="000000"/>
                <w:szCs w:val="24"/>
              </w:rPr>
              <w:t xml:space="preserve">deduction amounts related to optional retirement plans </w:t>
            </w:r>
            <w:r w:rsidR="002E5874" w:rsidRPr="00025A98">
              <w:rPr>
                <w:color w:val="000000"/>
                <w:szCs w:val="24"/>
              </w:rPr>
              <w:t xml:space="preserve">(Fidelity, TIAA and the DC Plan) </w:t>
            </w:r>
            <w:r w:rsidR="009333CC" w:rsidRPr="00025A98">
              <w:rPr>
                <w:color w:val="000000"/>
                <w:szCs w:val="24"/>
              </w:rPr>
              <w:t xml:space="preserve">on </w:t>
            </w:r>
            <w:r>
              <w:rPr>
                <w:color w:val="000000"/>
                <w:szCs w:val="24"/>
              </w:rPr>
              <w:t>Attachment HE-6, Optional Retirement Plans, as required by the Comptroller’s Directive for higher education institutions.</w:t>
            </w:r>
          </w:p>
          <w:p w:rsidR="009333CC" w:rsidRPr="00025A98" w:rsidRDefault="009333CC" w:rsidP="00CE2915">
            <w:pPr>
              <w:autoSpaceDE w:val="0"/>
              <w:autoSpaceDN w:val="0"/>
              <w:adjustRightInd w:val="0"/>
              <w:rPr>
                <w:color w:val="000000"/>
                <w:szCs w:val="24"/>
              </w:rPr>
            </w:pPr>
          </w:p>
          <w:p w:rsidR="009333CC" w:rsidRPr="00025A98" w:rsidRDefault="009333CC" w:rsidP="00CE2915">
            <w:pPr>
              <w:autoSpaceDE w:val="0"/>
              <w:autoSpaceDN w:val="0"/>
              <w:adjustRightInd w:val="0"/>
              <w:rPr>
                <w:color w:val="000000"/>
                <w:szCs w:val="24"/>
              </w:rPr>
            </w:pPr>
            <w:r w:rsidRPr="00025A98">
              <w:rPr>
                <w:color w:val="000000"/>
                <w:szCs w:val="24"/>
              </w:rPr>
              <w:t>Traditionally line agencies glean this information from reports provided by State Payroll Operations (SPO).  Beginning this year, SPO will no longer provide these reports.</w:t>
            </w:r>
          </w:p>
          <w:p w:rsidR="009333CC" w:rsidRPr="00025A98" w:rsidRDefault="009333CC" w:rsidP="00CE2915">
            <w:pPr>
              <w:autoSpaceDE w:val="0"/>
              <w:autoSpaceDN w:val="0"/>
              <w:adjustRightInd w:val="0"/>
              <w:rPr>
                <w:color w:val="000000"/>
                <w:szCs w:val="24"/>
              </w:rPr>
            </w:pPr>
          </w:p>
          <w:p w:rsidR="009333CC" w:rsidRPr="00025A98" w:rsidRDefault="009333CC" w:rsidP="00CE2915">
            <w:pPr>
              <w:autoSpaceDE w:val="0"/>
              <w:autoSpaceDN w:val="0"/>
              <w:adjustRightInd w:val="0"/>
              <w:rPr>
                <w:color w:val="000000"/>
                <w:szCs w:val="24"/>
              </w:rPr>
            </w:pPr>
            <w:r w:rsidRPr="00025A98">
              <w:rPr>
                <w:color w:val="000000"/>
                <w:szCs w:val="24"/>
              </w:rPr>
              <w:t>Line agencies can download all of the necessary information from the Payroll Audit Tool (PAT).  Line agencies should be prepared to meet the upcoming CAFR deadlines by ensuring they have access to PAT.  To gain access complete the following form:</w:t>
            </w:r>
          </w:p>
          <w:p w:rsidR="002E5874" w:rsidRDefault="002E5874" w:rsidP="00CE2915">
            <w:pPr>
              <w:autoSpaceDE w:val="0"/>
              <w:autoSpaceDN w:val="0"/>
              <w:adjustRightInd w:val="0"/>
              <w:rPr>
                <w:sz w:val="22"/>
                <w:szCs w:val="22"/>
              </w:rPr>
            </w:pPr>
          </w:p>
          <w:p w:rsidR="002E5874" w:rsidRDefault="001555C4" w:rsidP="00CE2915">
            <w:pPr>
              <w:autoSpaceDE w:val="0"/>
              <w:autoSpaceDN w:val="0"/>
              <w:adjustRightInd w:val="0"/>
              <w:rPr>
                <w:sz w:val="22"/>
                <w:szCs w:val="22"/>
              </w:rPr>
            </w:pPr>
            <w:hyperlink r:id="rId15" w:history="1">
              <w:r w:rsidR="002E5874" w:rsidRPr="00B113E9">
                <w:rPr>
                  <w:rStyle w:val="Hyperlink"/>
                  <w:sz w:val="22"/>
                  <w:szCs w:val="22"/>
                </w:rPr>
                <w:t>https://www.doa.virginia.gov/forms/Payline/PaylinePATSecurityForm.pdf</w:t>
              </w:r>
            </w:hyperlink>
          </w:p>
          <w:p w:rsidR="002E5874" w:rsidRDefault="002E5874" w:rsidP="00CE2915">
            <w:pPr>
              <w:autoSpaceDE w:val="0"/>
              <w:autoSpaceDN w:val="0"/>
              <w:adjustRightInd w:val="0"/>
              <w:rPr>
                <w:sz w:val="22"/>
                <w:szCs w:val="22"/>
              </w:rPr>
            </w:pPr>
          </w:p>
          <w:p w:rsidR="00CE2915" w:rsidRPr="00891123" w:rsidRDefault="002E5874" w:rsidP="00CE2915">
            <w:pPr>
              <w:autoSpaceDE w:val="0"/>
              <w:autoSpaceDN w:val="0"/>
              <w:adjustRightInd w:val="0"/>
              <w:rPr>
                <w:color w:val="000000"/>
                <w:szCs w:val="24"/>
              </w:rPr>
            </w:pPr>
            <w:r>
              <w:rPr>
                <w:color w:val="000000"/>
                <w:szCs w:val="24"/>
              </w:rPr>
              <w:t xml:space="preserve">A deduction history for the fiscal year can be obtained by clicking on </w:t>
            </w:r>
            <w:r w:rsidR="00E61AE4">
              <w:rPr>
                <w:color w:val="000000"/>
                <w:szCs w:val="24"/>
              </w:rPr>
              <w:t>“Deductions History Detail Inquiry”, then select the check date range that is appropriate to capture the deductions made in that fiscal year.</w:t>
            </w:r>
          </w:p>
        </w:tc>
      </w:tr>
    </w:tbl>
    <w:p w:rsidR="00D55350" w:rsidRDefault="00D55350" w:rsidP="00D55350">
      <w:pPr>
        <w:pStyle w:val="BlockLine"/>
        <w:ind w:left="1350"/>
        <w:rPr>
          <w:sz w:val="16"/>
          <w:szCs w:val="16"/>
        </w:rPr>
      </w:pPr>
    </w:p>
    <w:p w:rsidR="003A5AA1" w:rsidRDefault="003A5AA1" w:rsidP="003C6D11">
      <w:pPr>
        <w:pStyle w:val="NormalWeb"/>
        <w:rPr>
          <w:b/>
          <w:bCs/>
          <w:color w:val="000000"/>
          <w:sz w:val="28"/>
          <w:szCs w:val="28"/>
        </w:rPr>
      </w:pPr>
    </w:p>
    <w:p w:rsidR="003A5AA1" w:rsidRDefault="003A5AA1" w:rsidP="003C6D11">
      <w:pPr>
        <w:pStyle w:val="NormalWeb"/>
        <w:rPr>
          <w:b/>
          <w:bCs/>
          <w:color w:val="000000"/>
          <w:sz w:val="28"/>
          <w:szCs w:val="28"/>
        </w:rPr>
      </w:pPr>
    </w:p>
    <w:p w:rsidR="003A5AA1" w:rsidRDefault="003A5AA1" w:rsidP="003C6D11">
      <w:pPr>
        <w:pStyle w:val="NormalWeb"/>
        <w:rPr>
          <w:b/>
          <w:bCs/>
          <w:color w:val="000000"/>
          <w:sz w:val="28"/>
          <w:szCs w:val="28"/>
        </w:rPr>
      </w:pPr>
    </w:p>
    <w:p w:rsidR="003A5AA1" w:rsidRDefault="003A5AA1" w:rsidP="003C6D11">
      <w:pPr>
        <w:pStyle w:val="NormalWeb"/>
        <w:rPr>
          <w:b/>
          <w:bCs/>
          <w:color w:val="000000"/>
          <w:sz w:val="28"/>
          <w:szCs w:val="28"/>
        </w:rPr>
      </w:pPr>
    </w:p>
    <w:p w:rsidR="003A5AA1" w:rsidRDefault="003A5AA1" w:rsidP="003A5AA1">
      <w:pPr>
        <w:pStyle w:val="BlockLine"/>
        <w:ind w:left="1350"/>
        <w:rPr>
          <w:sz w:val="16"/>
          <w:szCs w:val="16"/>
        </w:rPr>
      </w:pPr>
    </w:p>
    <w:p w:rsidR="003C6D11" w:rsidRDefault="003C6D11" w:rsidP="003C6D11">
      <w:pPr>
        <w:pStyle w:val="NormalWeb"/>
        <w:rPr>
          <w:b/>
          <w:bCs/>
          <w:color w:val="000000"/>
          <w:sz w:val="28"/>
          <w:szCs w:val="28"/>
        </w:rPr>
      </w:pPr>
      <w:r>
        <w:rPr>
          <w:b/>
          <w:bCs/>
          <w:color w:val="000000"/>
          <w:sz w:val="28"/>
          <w:szCs w:val="28"/>
        </w:rPr>
        <w:t>Tips for Contacting Us</w:t>
      </w:r>
    </w:p>
    <w:p w:rsidR="003C6D11" w:rsidRDefault="003C6D11" w:rsidP="003C6D11">
      <w:pPr>
        <w:pStyle w:val="BlockLine"/>
        <w:ind w:left="1350"/>
        <w:rPr>
          <w:sz w:val="16"/>
          <w:szCs w:val="16"/>
        </w:rPr>
      </w:pPr>
    </w:p>
    <w:tbl>
      <w:tblPr>
        <w:tblW w:w="10980" w:type="dxa"/>
        <w:tblLayout w:type="fixed"/>
        <w:tblLook w:val="0000" w:firstRow="0" w:lastRow="0" w:firstColumn="0" w:lastColumn="0" w:noHBand="0" w:noVBand="0"/>
      </w:tblPr>
      <w:tblGrid>
        <w:gridCol w:w="1638"/>
        <w:gridCol w:w="9342"/>
      </w:tblGrid>
      <w:tr w:rsidR="003C6D11" w:rsidTr="00471E1E">
        <w:trPr>
          <w:cantSplit/>
          <w:trHeight w:val="860"/>
        </w:trPr>
        <w:tc>
          <w:tcPr>
            <w:tcW w:w="1638" w:type="dxa"/>
          </w:tcPr>
          <w:p w:rsidR="003C6D11" w:rsidRPr="00AD0F5A" w:rsidRDefault="003C6D11" w:rsidP="00471E1E">
            <w:pPr>
              <w:pStyle w:val="Heading5"/>
              <w:rPr>
                <w:szCs w:val="22"/>
              </w:rPr>
            </w:pPr>
            <w:r>
              <w:t>Subject Lines</w:t>
            </w:r>
          </w:p>
        </w:tc>
        <w:tc>
          <w:tcPr>
            <w:tcW w:w="9342" w:type="dxa"/>
          </w:tcPr>
          <w:p w:rsidR="003C6D11" w:rsidRDefault="00747234" w:rsidP="00471E1E">
            <w:pPr>
              <w:autoSpaceDE w:val="0"/>
              <w:autoSpaceDN w:val="0"/>
              <w:adjustRightInd w:val="0"/>
              <w:rPr>
                <w:color w:val="000000"/>
                <w:szCs w:val="24"/>
              </w:rPr>
            </w:pPr>
            <w:r>
              <w:rPr>
                <w:color w:val="000000"/>
                <w:szCs w:val="24"/>
              </w:rPr>
              <w:t>When contacting us through email</w:t>
            </w:r>
            <w:r w:rsidR="003C6D11">
              <w:rPr>
                <w:color w:val="000000"/>
                <w:szCs w:val="24"/>
              </w:rPr>
              <w:t xml:space="preserve">, be sure that the </w:t>
            </w:r>
            <w:r>
              <w:rPr>
                <w:color w:val="000000"/>
                <w:szCs w:val="24"/>
              </w:rPr>
              <w:t>“</w:t>
            </w:r>
            <w:r w:rsidR="003C6D11">
              <w:rPr>
                <w:color w:val="000000"/>
                <w:szCs w:val="24"/>
              </w:rPr>
              <w:t>Subject Line</w:t>
            </w:r>
            <w:r>
              <w:rPr>
                <w:color w:val="000000"/>
                <w:szCs w:val="24"/>
              </w:rPr>
              <w:t>”</w:t>
            </w:r>
            <w:r w:rsidR="003C6D11">
              <w:rPr>
                <w:color w:val="000000"/>
                <w:szCs w:val="24"/>
              </w:rPr>
              <w:t xml:space="preserve"> accurately reflects the content.  Doing so will help us quickly disseminate the information to the proper contact.</w:t>
            </w:r>
          </w:p>
          <w:p w:rsidR="003C6D11" w:rsidRDefault="003C6D11" w:rsidP="00471E1E">
            <w:pPr>
              <w:autoSpaceDE w:val="0"/>
              <w:autoSpaceDN w:val="0"/>
              <w:adjustRightInd w:val="0"/>
              <w:rPr>
                <w:color w:val="000000"/>
                <w:szCs w:val="24"/>
              </w:rPr>
            </w:pPr>
          </w:p>
          <w:p w:rsidR="00747234" w:rsidRDefault="003C6D11" w:rsidP="00747234">
            <w:pPr>
              <w:autoSpaceDE w:val="0"/>
              <w:autoSpaceDN w:val="0"/>
              <w:adjustRightInd w:val="0"/>
              <w:rPr>
                <w:color w:val="000000"/>
                <w:szCs w:val="24"/>
              </w:rPr>
            </w:pPr>
            <w:r>
              <w:rPr>
                <w:color w:val="000000"/>
                <w:szCs w:val="24"/>
              </w:rPr>
              <w:t xml:space="preserve">When forwarding emails, review the “Subject Line” to make sure it is relevant. </w:t>
            </w:r>
            <w:r w:rsidR="00747234">
              <w:rPr>
                <w:color w:val="000000"/>
                <w:szCs w:val="24"/>
              </w:rPr>
              <w:t xml:space="preserve">The inherited </w:t>
            </w:r>
            <w:r>
              <w:rPr>
                <w:color w:val="000000"/>
                <w:szCs w:val="24"/>
              </w:rPr>
              <w:t>“Subject Line”</w:t>
            </w:r>
            <w:r w:rsidR="00747234">
              <w:rPr>
                <w:color w:val="000000"/>
                <w:szCs w:val="24"/>
              </w:rPr>
              <w:t xml:space="preserve"> </w:t>
            </w:r>
            <w:r>
              <w:rPr>
                <w:color w:val="000000"/>
                <w:szCs w:val="24"/>
              </w:rPr>
              <w:t xml:space="preserve">from </w:t>
            </w:r>
            <w:r w:rsidR="00747234">
              <w:rPr>
                <w:color w:val="000000"/>
                <w:szCs w:val="24"/>
              </w:rPr>
              <w:t>a forwarded</w:t>
            </w:r>
            <w:r>
              <w:rPr>
                <w:color w:val="000000"/>
                <w:szCs w:val="24"/>
              </w:rPr>
              <w:t xml:space="preserve"> email </w:t>
            </w:r>
            <w:r w:rsidR="00747234">
              <w:rPr>
                <w:color w:val="000000"/>
                <w:szCs w:val="24"/>
              </w:rPr>
              <w:t xml:space="preserve">(example “RE: Scanned Document”) </w:t>
            </w:r>
            <w:r>
              <w:rPr>
                <w:color w:val="000000"/>
                <w:szCs w:val="24"/>
              </w:rPr>
              <w:t xml:space="preserve">can impair our ability to get it to the right person.  </w:t>
            </w:r>
          </w:p>
          <w:p w:rsidR="00747234" w:rsidRDefault="00747234" w:rsidP="00747234">
            <w:pPr>
              <w:autoSpaceDE w:val="0"/>
              <w:autoSpaceDN w:val="0"/>
              <w:adjustRightInd w:val="0"/>
              <w:rPr>
                <w:color w:val="000000"/>
                <w:szCs w:val="24"/>
              </w:rPr>
            </w:pPr>
          </w:p>
          <w:p w:rsidR="003C6D11" w:rsidRPr="00891123" w:rsidRDefault="003C6D11" w:rsidP="00DA5716">
            <w:pPr>
              <w:autoSpaceDE w:val="0"/>
              <w:autoSpaceDN w:val="0"/>
              <w:adjustRightInd w:val="0"/>
              <w:rPr>
                <w:color w:val="000000"/>
                <w:szCs w:val="24"/>
              </w:rPr>
            </w:pPr>
            <w:r>
              <w:rPr>
                <w:color w:val="000000"/>
                <w:szCs w:val="24"/>
              </w:rPr>
              <w:t xml:space="preserve">If your agency uses Gmail, click </w:t>
            </w:r>
            <w:r w:rsidR="00DA5716">
              <w:rPr>
                <w:color w:val="000000"/>
                <w:szCs w:val="24"/>
              </w:rPr>
              <w:t xml:space="preserve">“Forward” then click </w:t>
            </w:r>
            <w:r>
              <w:rPr>
                <w:color w:val="000000"/>
                <w:szCs w:val="24"/>
              </w:rPr>
              <w:t xml:space="preserve">on the </w:t>
            </w:r>
            <w:r w:rsidR="00747234">
              <w:rPr>
                <w:color w:val="000000"/>
                <w:szCs w:val="24"/>
              </w:rPr>
              <w:t xml:space="preserve">drop </w:t>
            </w:r>
            <w:r>
              <w:rPr>
                <w:color w:val="000000"/>
                <w:szCs w:val="24"/>
              </w:rPr>
              <w:t xml:space="preserve">down arrow </w:t>
            </w:r>
            <w:r w:rsidR="00747234">
              <w:rPr>
                <w:color w:val="000000"/>
                <w:szCs w:val="24"/>
              </w:rPr>
              <w:t xml:space="preserve">to the left of the </w:t>
            </w:r>
            <w:r w:rsidR="00DA5716">
              <w:rPr>
                <w:color w:val="000000"/>
                <w:szCs w:val="24"/>
              </w:rPr>
              <w:t xml:space="preserve">email addresses </w:t>
            </w:r>
            <w:r>
              <w:rPr>
                <w:color w:val="000000"/>
                <w:szCs w:val="24"/>
              </w:rPr>
              <w:t>to select the “Edit Subject”</w:t>
            </w:r>
            <w:r w:rsidR="00DA5716">
              <w:rPr>
                <w:color w:val="000000"/>
                <w:szCs w:val="24"/>
              </w:rPr>
              <w:t xml:space="preserve"> option.</w:t>
            </w:r>
          </w:p>
        </w:tc>
      </w:tr>
    </w:tbl>
    <w:p w:rsidR="003C6D11" w:rsidRDefault="003C6D11" w:rsidP="003C6D11">
      <w:pPr>
        <w:pStyle w:val="BlockLine"/>
        <w:ind w:left="1350"/>
        <w:rPr>
          <w:sz w:val="16"/>
          <w:szCs w:val="16"/>
        </w:rPr>
      </w:pPr>
    </w:p>
    <w:p w:rsidR="001F4FF1" w:rsidRDefault="001F4FF1" w:rsidP="001F4FF1">
      <w:pPr>
        <w:pStyle w:val="NormalWeb"/>
        <w:rPr>
          <w:b/>
          <w:bCs/>
          <w:color w:val="000000"/>
          <w:sz w:val="28"/>
          <w:szCs w:val="28"/>
        </w:rPr>
      </w:pPr>
      <w:r>
        <w:rPr>
          <w:b/>
          <w:bCs/>
          <w:color w:val="000000"/>
          <w:sz w:val="28"/>
          <w:szCs w:val="28"/>
        </w:rPr>
        <w:t xml:space="preserve">Direct Deposit Security </w:t>
      </w:r>
      <w:r w:rsidR="008166F8">
        <w:rPr>
          <w:b/>
          <w:bCs/>
          <w:color w:val="000000"/>
          <w:sz w:val="28"/>
          <w:szCs w:val="28"/>
        </w:rPr>
        <w:t>Reminder</w:t>
      </w:r>
    </w:p>
    <w:p w:rsidR="001F4FF1" w:rsidRDefault="001F4FF1" w:rsidP="001F4FF1">
      <w:pPr>
        <w:pStyle w:val="BlockLine"/>
        <w:ind w:left="1350"/>
        <w:rPr>
          <w:sz w:val="16"/>
          <w:szCs w:val="16"/>
        </w:rPr>
      </w:pPr>
    </w:p>
    <w:tbl>
      <w:tblPr>
        <w:tblW w:w="10980" w:type="dxa"/>
        <w:tblLayout w:type="fixed"/>
        <w:tblLook w:val="0000" w:firstRow="0" w:lastRow="0" w:firstColumn="0" w:lastColumn="0" w:noHBand="0" w:noVBand="0"/>
      </w:tblPr>
      <w:tblGrid>
        <w:gridCol w:w="1638"/>
        <w:gridCol w:w="9342"/>
      </w:tblGrid>
      <w:tr w:rsidR="001F4FF1" w:rsidTr="006E029D">
        <w:trPr>
          <w:cantSplit/>
          <w:trHeight w:val="1157"/>
        </w:trPr>
        <w:tc>
          <w:tcPr>
            <w:tcW w:w="1638" w:type="dxa"/>
          </w:tcPr>
          <w:p w:rsidR="001F4FF1" w:rsidRPr="00AD0F5A" w:rsidRDefault="001F4FF1" w:rsidP="006E029D">
            <w:pPr>
              <w:pStyle w:val="Heading5"/>
              <w:rPr>
                <w:szCs w:val="22"/>
              </w:rPr>
            </w:pPr>
            <w:r>
              <w:rPr>
                <w:szCs w:val="22"/>
              </w:rPr>
              <w:t>New Scams</w:t>
            </w:r>
          </w:p>
        </w:tc>
        <w:tc>
          <w:tcPr>
            <w:tcW w:w="9342" w:type="dxa"/>
          </w:tcPr>
          <w:p w:rsidR="001F4FF1" w:rsidRPr="00891123" w:rsidRDefault="001F4FF1" w:rsidP="006E029D">
            <w:pPr>
              <w:autoSpaceDE w:val="0"/>
              <w:autoSpaceDN w:val="0"/>
              <w:adjustRightInd w:val="0"/>
              <w:rPr>
                <w:color w:val="000000"/>
                <w:szCs w:val="24"/>
              </w:rPr>
            </w:pPr>
            <w:r>
              <w:rPr>
                <w:color w:val="000000"/>
                <w:szCs w:val="24"/>
              </w:rPr>
              <w:t xml:space="preserve">Several agencies have recently received email requests to make changes to direct deposit accounts, only to find on payday that the employee did not request the change. The requests appear to come from the employee’s work email account. In many cases, the money was directed to a pre-paid card, which makes it impossible to recover the funds. </w:t>
            </w:r>
          </w:p>
        </w:tc>
      </w:tr>
    </w:tbl>
    <w:p w:rsidR="001F4FF1" w:rsidRDefault="001F4FF1" w:rsidP="001F4FF1">
      <w:pPr>
        <w:pStyle w:val="BlockLine"/>
        <w:ind w:left="1350"/>
        <w:rPr>
          <w:sz w:val="16"/>
          <w:szCs w:val="16"/>
        </w:rPr>
      </w:pPr>
      <w:r>
        <w:rPr>
          <w:sz w:val="16"/>
          <w:szCs w:val="16"/>
        </w:rPr>
        <w:t xml:space="preserve"> </w:t>
      </w:r>
    </w:p>
    <w:tbl>
      <w:tblPr>
        <w:tblW w:w="10980" w:type="dxa"/>
        <w:tblLayout w:type="fixed"/>
        <w:tblLook w:val="0000" w:firstRow="0" w:lastRow="0" w:firstColumn="0" w:lastColumn="0" w:noHBand="0" w:noVBand="0"/>
      </w:tblPr>
      <w:tblGrid>
        <w:gridCol w:w="1638"/>
        <w:gridCol w:w="9342"/>
      </w:tblGrid>
      <w:tr w:rsidR="001F4FF1" w:rsidTr="006E029D">
        <w:trPr>
          <w:cantSplit/>
          <w:trHeight w:val="860"/>
        </w:trPr>
        <w:tc>
          <w:tcPr>
            <w:tcW w:w="1638" w:type="dxa"/>
          </w:tcPr>
          <w:p w:rsidR="001F4FF1" w:rsidRPr="00AD0F5A" w:rsidRDefault="001F4FF1" w:rsidP="006E029D">
            <w:pPr>
              <w:pStyle w:val="Heading5"/>
              <w:rPr>
                <w:szCs w:val="22"/>
              </w:rPr>
            </w:pPr>
            <w:r>
              <w:rPr>
                <w:szCs w:val="22"/>
              </w:rPr>
              <w:t>Precautions</w:t>
            </w:r>
          </w:p>
        </w:tc>
        <w:tc>
          <w:tcPr>
            <w:tcW w:w="9342" w:type="dxa"/>
          </w:tcPr>
          <w:p w:rsidR="001F4FF1" w:rsidRPr="008166F8" w:rsidRDefault="001F4FF1" w:rsidP="008311A0">
            <w:pPr>
              <w:autoSpaceDE w:val="0"/>
              <w:autoSpaceDN w:val="0"/>
              <w:adjustRightInd w:val="0"/>
              <w:rPr>
                <w:color w:val="000000"/>
                <w:sz w:val="23"/>
                <w:szCs w:val="23"/>
              </w:rPr>
            </w:pPr>
            <w:r w:rsidRPr="008166F8">
              <w:rPr>
                <w:color w:val="000000"/>
                <w:sz w:val="23"/>
                <w:szCs w:val="23"/>
              </w:rPr>
              <w:t xml:space="preserve">The fraudulent emails appear to be from an agency employee, i.e. John Smith in IT. The email sender is “John Smith”. However, when the cursor is placed over the sender name, the email address is </w:t>
            </w:r>
            <w:hyperlink r:id="rId16" w:history="1">
              <w:r w:rsidRPr="008166F8">
                <w:rPr>
                  <w:rStyle w:val="Hyperlink"/>
                  <w:b/>
                  <w:sz w:val="23"/>
                  <w:szCs w:val="23"/>
                </w:rPr>
                <w:t>wrts436@gmail.com</w:t>
              </w:r>
            </w:hyperlink>
            <w:r w:rsidRPr="008166F8">
              <w:rPr>
                <w:b/>
                <w:color w:val="000000"/>
                <w:sz w:val="23"/>
                <w:szCs w:val="23"/>
              </w:rPr>
              <w:t>.</w:t>
            </w:r>
            <w:r w:rsidRPr="008166F8">
              <w:rPr>
                <w:color w:val="000000"/>
                <w:sz w:val="23"/>
                <w:szCs w:val="23"/>
              </w:rPr>
              <w:t xml:space="preserve"> </w:t>
            </w:r>
            <w:r w:rsidRPr="008166F8">
              <w:rPr>
                <w:b/>
                <w:color w:val="000000"/>
                <w:sz w:val="23"/>
                <w:szCs w:val="23"/>
              </w:rPr>
              <w:t>As a precaution, never reply to an email that does not match the employees work email account, i.e.</w:t>
            </w:r>
            <w:r w:rsidRPr="008166F8">
              <w:rPr>
                <w:b/>
                <w:color w:val="000000"/>
                <w:sz w:val="23"/>
                <w:szCs w:val="23"/>
                <w:u w:val="single"/>
              </w:rPr>
              <w:t xml:space="preserve"> </w:t>
            </w:r>
            <w:hyperlink r:id="rId17" w:history="1">
              <w:r w:rsidRPr="008166F8">
                <w:rPr>
                  <w:rStyle w:val="Hyperlink"/>
                  <w:b/>
                  <w:sz w:val="23"/>
                  <w:szCs w:val="23"/>
                </w:rPr>
                <w:t>john.smith@doa.virginia.gov</w:t>
              </w:r>
            </w:hyperlink>
            <w:r w:rsidRPr="008166F8">
              <w:rPr>
                <w:color w:val="000000"/>
                <w:sz w:val="23"/>
                <w:szCs w:val="23"/>
              </w:rPr>
              <w:t xml:space="preserve">. </w:t>
            </w:r>
          </w:p>
          <w:p w:rsidR="008311A0" w:rsidRPr="008166F8" w:rsidRDefault="008311A0" w:rsidP="008311A0">
            <w:pPr>
              <w:autoSpaceDE w:val="0"/>
              <w:autoSpaceDN w:val="0"/>
              <w:adjustRightInd w:val="0"/>
              <w:rPr>
                <w:color w:val="000000"/>
                <w:sz w:val="23"/>
                <w:szCs w:val="23"/>
              </w:rPr>
            </w:pPr>
          </w:p>
          <w:p w:rsidR="008311A0" w:rsidRPr="008166F8" w:rsidRDefault="008311A0" w:rsidP="008311A0">
            <w:pPr>
              <w:autoSpaceDE w:val="0"/>
              <w:autoSpaceDN w:val="0"/>
              <w:adjustRightInd w:val="0"/>
              <w:rPr>
                <w:color w:val="000000"/>
                <w:sz w:val="23"/>
                <w:szCs w:val="23"/>
              </w:rPr>
            </w:pPr>
            <w:r w:rsidRPr="008166F8">
              <w:rPr>
                <w:color w:val="000000"/>
                <w:sz w:val="23"/>
                <w:szCs w:val="23"/>
              </w:rPr>
              <w:t>To ensure that the request was actually initiated by an employee, the following precautions are recommended:</w:t>
            </w:r>
          </w:p>
          <w:p w:rsidR="008311A0" w:rsidRPr="008166F8" w:rsidRDefault="008311A0" w:rsidP="00CF753A">
            <w:pPr>
              <w:pStyle w:val="ListParagraph"/>
              <w:numPr>
                <w:ilvl w:val="0"/>
                <w:numId w:val="11"/>
              </w:numPr>
              <w:autoSpaceDE w:val="0"/>
              <w:autoSpaceDN w:val="0"/>
              <w:adjustRightInd w:val="0"/>
              <w:rPr>
                <w:color w:val="000000"/>
                <w:sz w:val="23"/>
                <w:szCs w:val="23"/>
              </w:rPr>
            </w:pPr>
            <w:r w:rsidRPr="008166F8">
              <w:rPr>
                <w:color w:val="000000"/>
                <w:sz w:val="23"/>
                <w:szCs w:val="23"/>
              </w:rPr>
              <w:t>Verify the requestor with a phone call, email, or both using the contact information you have on file.</w:t>
            </w:r>
          </w:p>
          <w:p w:rsidR="00CF753A" w:rsidRPr="008166F8" w:rsidRDefault="00CF753A" w:rsidP="008166F8">
            <w:pPr>
              <w:pStyle w:val="ListParagraph"/>
              <w:numPr>
                <w:ilvl w:val="1"/>
                <w:numId w:val="11"/>
              </w:numPr>
              <w:autoSpaceDE w:val="0"/>
              <w:autoSpaceDN w:val="0"/>
              <w:adjustRightInd w:val="0"/>
              <w:rPr>
                <w:color w:val="000000"/>
                <w:sz w:val="23"/>
                <w:szCs w:val="23"/>
              </w:rPr>
            </w:pPr>
            <w:r w:rsidRPr="008166F8">
              <w:rPr>
                <w:color w:val="000000"/>
                <w:sz w:val="23"/>
                <w:szCs w:val="23"/>
              </w:rPr>
              <w:t>If you received the request by mail, fax, or email, verify it with a phone call.</w:t>
            </w:r>
          </w:p>
          <w:p w:rsidR="00CF753A" w:rsidRPr="008166F8" w:rsidRDefault="00CF753A" w:rsidP="008166F8">
            <w:pPr>
              <w:pStyle w:val="ListParagraph"/>
              <w:numPr>
                <w:ilvl w:val="1"/>
                <w:numId w:val="11"/>
              </w:numPr>
              <w:autoSpaceDE w:val="0"/>
              <w:autoSpaceDN w:val="0"/>
              <w:adjustRightInd w:val="0"/>
              <w:rPr>
                <w:color w:val="000000"/>
                <w:sz w:val="23"/>
                <w:szCs w:val="23"/>
              </w:rPr>
            </w:pPr>
            <w:r w:rsidRPr="008166F8">
              <w:rPr>
                <w:color w:val="000000"/>
                <w:sz w:val="23"/>
                <w:szCs w:val="23"/>
              </w:rPr>
              <w:t>If you received the request by phone, verify it by email.</w:t>
            </w:r>
          </w:p>
          <w:p w:rsidR="00CF753A" w:rsidRPr="008166F8" w:rsidRDefault="00CF753A" w:rsidP="00CF753A">
            <w:pPr>
              <w:pStyle w:val="ListParagraph"/>
              <w:numPr>
                <w:ilvl w:val="0"/>
                <w:numId w:val="11"/>
              </w:numPr>
              <w:autoSpaceDE w:val="0"/>
              <w:autoSpaceDN w:val="0"/>
              <w:adjustRightInd w:val="0"/>
              <w:rPr>
                <w:color w:val="000000"/>
                <w:sz w:val="23"/>
                <w:szCs w:val="23"/>
              </w:rPr>
            </w:pPr>
            <w:r w:rsidRPr="008166F8">
              <w:rPr>
                <w:color w:val="000000"/>
                <w:sz w:val="23"/>
                <w:szCs w:val="23"/>
              </w:rPr>
              <w:t>Require a voided check attached to the request (not a counter check, but one that at least has the employee’s name printed on it)</w:t>
            </w:r>
          </w:p>
          <w:p w:rsidR="00CF753A" w:rsidRPr="008166F8" w:rsidRDefault="00CF753A" w:rsidP="00CF753A">
            <w:pPr>
              <w:pStyle w:val="ListParagraph"/>
              <w:numPr>
                <w:ilvl w:val="0"/>
                <w:numId w:val="11"/>
              </w:numPr>
              <w:autoSpaceDE w:val="0"/>
              <w:autoSpaceDN w:val="0"/>
              <w:adjustRightInd w:val="0"/>
              <w:rPr>
                <w:color w:val="000000"/>
                <w:sz w:val="23"/>
                <w:szCs w:val="23"/>
              </w:rPr>
            </w:pPr>
            <w:r w:rsidRPr="008166F8">
              <w:rPr>
                <w:color w:val="000000"/>
                <w:sz w:val="23"/>
                <w:szCs w:val="23"/>
              </w:rPr>
              <w:t>Always require the official direct deposit form found on the DOA website </w:t>
            </w:r>
            <w:hyperlink r:id="rId18" w:tgtFrame="_blank" w:history="1">
              <w:r w:rsidRPr="008166F8">
                <w:rPr>
                  <w:color w:val="000000"/>
                  <w:sz w:val="23"/>
                  <w:szCs w:val="23"/>
                </w:rPr>
                <w:t>https://www.doa.virginia.gov/forms/Payroll/DirectDeposit.pdf</w:t>
              </w:r>
            </w:hyperlink>
          </w:p>
          <w:p w:rsidR="00CF753A" w:rsidRPr="008166F8" w:rsidRDefault="00CF753A" w:rsidP="00CF753A">
            <w:pPr>
              <w:pStyle w:val="ListParagraph"/>
              <w:numPr>
                <w:ilvl w:val="0"/>
                <w:numId w:val="11"/>
              </w:numPr>
              <w:autoSpaceDE w:val="0"/>
              <w:autoSpaceDN w:val="0"/>
              <w:adjustRightInd w:val="0"/>
              <w:rPr>
                <w:color w:val="000000"/>
                <w:sz w:val="23"/>
                <w:szCs w:val="23"/>
              </w:rPr>
            </w:pPr>
            <w:r w:rsidRPr="008166F8">
              <w:rPr>
                <w:color w:val="000000"/>
                <w:sz w:val="23"/>
                <w:szCs w:val="23"/>
              </w:rPr>
              <w:t>Require a copy of the employee badge or other form of identification for changes not requested in person</w:t>
            </w:r>
          </w:p>
          <w:p w:rsidR="008166F8" w:rsidRPr="008166F8" w:rsidRDefault="008166F8" w:rsidP="00CF753A">
            <w:pPr>
              <w:autoSpaceDE w:val="0"/>
              <w:autoSpaceDN w:val="0"/>
              <w:adjustRightInd w:val="0"/>
              <w:rPr>
                <w:color w:val="000000"/>
                <w:sz w:val="23"/>
                <w:szCs w:val="23"/>
              </w:rPr>
            </w:pPr>
          </w:p>
          <w:p w:rsidR="008311A0" w:rsidRPr="008166F8" w:rsidRDefault="008311A0" w:rsidP="00CF753A">
            <w:pPr>
              <w:autoSpaceDE w:val="0"/>
              <w:autoSpaceDN w:val="0"/>
              <w:adjustRightInd w:val="0"/>
              <w:rPr>
                <w:color w:val="000000"/>
                <w:sz w:val="23"/>
                <w:szCs w:val="23"/>
              </w:rPr>
            </w:pPr>
            <w:r w:rsidRPr="008166F8">
              <w:rPr>
                <w:color w:val="000000"/>
                <w:sz w:val="23"/>
                <w:szCs w:val="23"/>
              </w:rPr>
              <w:t>Take the following steps as soon as fraud is suspected:</w:t>
            </w:r>
          </w:p>
          <w:p w:rsidR="00CF753A" w:rsidRPr="008166F8" w:rsidRDefault="00CF753A" w:rsidP="00CF753A">
            <w:pPr>
              <w:autoSpaceDE w:val="0"/>
              <w:autoSpaceDN w:val="0"/>
              <w:adjustRightInd w:val="0"/>
              <w:rPr>
                <w:color w:val="000000"/>
                <w:sz w:val="23"/>
                <w:szCs w:val="23"/>
              </w:rPr>
            </w:pPr>
          </w:p>
          <w:p w:rsidR="00CF753A" w:rsidRPr="008166F8" w:rsidRDefault="00CF753A" w:rsidP="00CF753A">
            <w:pPr>
              <w:pStyle w:val="ListParagraph"/>
              <w:numPr>
                <w:ilvl w:val="0"/>
                <w:numId w:val="12"/>
              </w:numPr>
              <w:autoSpaceDE w:val="0"/>
              <w:autoSpaceDN w:val="0"/>
              <w:adjustRightInd w:val="0"/>
              <w:rPr>
                <w:color w:val="000000"/>
                <w:sz w:val="23"/>
                <w:szCs w:val="23"/>
              </w:rPr>
            </w:pPr>
            <w:r w:rsidRPr="008166F8">
              <w:rPr>
                <w:color w:val="000000"/>
                <w:sz w:val="23"/>
                <w:szCs w:val="23"/>
              </w:rPr>
              <w:t>Submit a stop payment request (must be done within five days of payment date)</w:t>
            </w:r>
          </w:p>
          <w:p w:rsidR="00CF753A" w:rsidRPr="008166F8" w:rsidRDefault="00CF753A" w:rsidP="00CF753A">
            <w:pPr>
              <w:pStyle w:val="ListParagraph"/>
              <w:numPr>
                <w:ilvl w:val="0"/>
                <w:numId w:val="12"/>
              </w:numPr>
              <w:autoSpaceDE w:val="0"/>
              <w:autoSpaceDN w:val="0"/>
              <w:adjustRightInd w:val="0"/>
              <w:rPr>
                <w:color w:val="000000"/>
                <w:sz w:val="23"/>
                <w:szCs w:val="23"/>
              </w:rPr>
            </w:pPr>
            <w:r w:rsidRPr="008166F8">
              <w:rPr>
                <w:color w:val="000000"/>
                <w:sz w:val="23"/>
                <w:szCs w:val="23"/>
              </w:rPr>
              <w:t>Report the situation to your agency IT security officer</w:t>
            </w:r>
          </w:p>
          <w:p w:rsidR="00CF753A" w:rsidRPr="008166F8" w:rsidRDefault="00CF753A" w:rsidP="00CF753A">
            <w:pPr>
              <w:pStyle w:val="ListParagraph"/>
              <w:numPr>
                <w:ilvl w:val="0"/>
                <w:numId w:val="12"/>
              </w:numPr>
              <w:autoSpaceDE w:val="0"/>
              <w:autoSpaceDN w:val="0"/>
              <w:adjustRightInd w:val="0"/>
              <w:rPr>
                <w:color w:val="000000"/>
                <w:sz w:val="23"/>
                <w:szCs w:val="23"/>
              </w:rPr>
            </w:pPr>
            <w:r w:rsidRPr="008166F8">
              <w:rPr>
                <w:color w:val="000000"/>
                <w:sz w:val="23"/>
                <w:szCs w:val="23"/>
              </w:rPr>
              <w:t>Report the potential fraud to the receiving bank (RDFI)</w:t>
            </w:r>
          </w:p>
          <w:p w:rsidR="00CF753A" w:rsidRPr="008166F8" w:rsidRDefault="00CF753A" w:rsidP="008166F8">
            <w:pPr>
              <w:pStyle w:val="ListParagraph"/>
              <w:numPr>
                <w:ilvl w:val="0"/>
                <w:numId w:val="12"/>
              </w:numPr>
              <w:autoSpaceDE w:val="0"/>
              <w:autoSpaceDN w:val="0"/>
              <w:adjustRightInd w:val="0"/>
              <w:rPr>
                <w:color w:val="000000"/>
                <w:sz w:val="23"/>
                <w:szCs w:val="23"/>
              </w:rPr>
            </w:pPr>
            <w:r w:rsidRPr="008166F8">
              <w:rPr>
                <w:color w:val="000000"/>
                <w:sz w:val="23"/>
                <w:szCs w:val="23"/>
              </w:rPr>
              <w:t>If it is a local bank, contact Treasury for assistance in finding the proper contact or if assistance is needed in completing a Fraud Affidavit</w:t>
            </w:r>
          </w:p>
        </w:tc>
      </w:tr>
    </w:tbl>
    <w:p w:rsidR="001F4FF1" w:rsidRDefault="001F4FF1" w:rsidP="001F4FF1">
      <w:pPr>
        <w:pStyle w:val="BlockLine"/>
        <w:ind w:left="1350"/>
        <w:rPr>
          <w:sz w:val="16"/>
          <w:szCs w:val="16"/>
        </w:rPr>
      </w:pPr>
    </w:p>
    <w:p w:rsidR="008166F8" w:rsidRDefault="008166F8" w:rsidP="008166F8">
      <w:pPr>
        <w:pStyle w:val="BlockLine"/>
        <w:ind w:left="1350"/>
        <w:rPr>
          <w:sz w:val="16"/>
          <w:szCs w:val="16"/>
        </w:rPr>
      </w:pPr>
    </w:p>
    <w:p w:rsidR="001F4FF1" w:rsidRDefault="001F4FF1" w:rsidP="001F4FF1">
      <w:pPr>
        <w:pStyle w:val="NormalWeb"/>
        <w:rPr>
          <w:b/>
          <w:bCs/>
          <w:color w:val="000000"/>
          <w:sz w:val="28"/>
          <w:szCs w:val="28"/>
        </w:rPr>
      </w:pPr>
      <w:r>
        <w:rPr>
          <w:b/>
          <w:bCs/>
          <w:color w:val="000000"/>
          <w:sz w:val="28"/>
          <w:szCs w:val="28"/>
        </w:rPr>
        <w:t>PMIS to CIPPS New Hire Interface Update</w:t>
      </w:r>
    </w:p>
    <w:p w:rsidR="001F4FF1" w:rsidRDefault="001F4FF1" w:rsidP="001F4FF1">
      <w:pPr>
        <w:pStyle w:val="BlockLine"/>
        <w:ind w:left="1350"/>
        <w:rPr>
          <w:sz w:val="16"/>
          <w:szCs w:val="16"/>
        </w:rPr>
      </w:pPr>
    </w:p>
    <w:tbl>
      <w:tblPr>
        <w:tblW w:w="10980" w:type="dxa"/>
        <w:tblLayout w:type="fixed"/>
        <w:tblLook w:val="0000" w:firstRow="0" w:lastRow="0" w:firstColumn="0" w:lastColumn="0" w:noHBand="0" w:noVBand="0"/>
      </w:tblPr>
      <w:tblGrid>
        <w:gridCol w:w="1638"/>
        <w:gridCol w:w="9342"/>
      </w:tblGrid>
      <w:tr w:rsidR="001F4FF1" w:rsidTr="006E029D">
        <w:trPr>
          <w:cantSplit/>
          <w:trHeight w:val="860"/>
        </w:trPr>
        <w:tc>
          <w:tcPr>
            <w:tcW w:w="1638" w:type="dxa"/>
          </w:tcPr>
          <w:p w:rsidR="001F4FF1" w:rsidRDefault="001F4FF1" w:rsidP="006E029D">
            <w:pPr>
              <w:pStyle w:val="Default"/>
              <w:rPr>
                <w:sz w:val="22"/>
                <w:szCs w:val="22"/>
              </w:rPr>
            </w:pPr>
            <w:r>
              <w:rPr>
                <w:b/>
                <w:bCs/>
                <w:sz w:val="22"/>
                <w:szCs w:val="22"/>
              </w:rPr>
              <w:t xml:space="preserve">Additional PMIS Reason Codes </w:t>
            </w:r>
          </w:p>
          <w:p w:rsidR="001F4FF1" w:rsidRPr="00AD0F5A" w:rsidRDefault="001F4FF1" w:rsidP="006E029D">
            <w:pPr>
              <w:pStyle w:val="Heading5"/>
              <w:rPr>
                <w:szCs w:val="22"/>
              </w:rPr>
            </w:pPr>
          </w:p>
        </w:tc>
        <w:tc>
          <w:tcPr>
            <w:tcW w:w="9342" w:type="dxa"/>
          </w:tcPr>
          <w:p w:rsidR="001F4FF1" w:rsidRPr="007D1DA1" w:rsidRDefault="001F4FF1" w:rsidP="006E029D">
            <w:pPr>
              <w:pStyle w:val="Default"/>
            </w:pPr>
            <w:r w:rsidRPr="007D1DA1">
              <w:t xml:space="preserve">The PMIS New Hire Interface was updated in February 2018 to allow CIPPS to create a new hire "shell" record for additional PMIS Reason Codes. A complete listing of PMIS Reason Codes that generate a new hire "shell" record in CIPPS is available below. If a different reason code is used, agencies must enter the new hire manually into CIPPS. </w:t>
            </w:r>
          </w:p>
          <w:p w:rsidR="001F4FF1" w:rsidRPr="007D1DA1" w:rsidRDefault="001F4FF1" w:rsidP="006E029D">
            <w:pPr>
              <w:autoSpaceDE w:val="0"/>
              <w:autoSpaceDN w:val="0"/>
              <w:adjustRightInd w:val="0"/>
              <w:rPr>
                <w:szCs w:val="24"/>
              </w:rPr>
            </w:pPr>
          </w:p>
          <w:p w:rsidR="001F4FF1" w:rsidRPr="007D1DA1" w:rsidRDefault="001F4FF1" w:rsidP="006E029D">
            <w:pPr>
              <w:autoSpaceDE w:val="0"/>
              <w:autoSpaceDN w:val="0"/>
              <w:adjustRightInd w:val="0"/>
              <w:ind w:left="720"/>
              <w:rPr>
                <w:szCs w:val="24"/>
              </w:rPr>
            </w:pPr>
            <w:r w:rsidRPr="007D1DA1">
              <w:rPr>
                <w:szCs w:val="24"/>
              </w:rPr>
              <w:t xml:space="preserve">Reason Code 301 Original Appointment </w:t>
            </w:r>
          </w:p>
          <w:p w:rsidR="001F4FF1" w:rsidRPr="007D1DA1" w:rsidRDefault="001F4FF1" w:rsidP="006E029D">
            <w:pPr>
              <w:autoSpaceDE w:val="0"/>
              <w:autoSpaceDN w:val="0"/>
              <w:adjustRightInd w:val="0"/>
              <w:ind w:left="720"/>
              <w:rPr>
                <w:szCs w:val="24"/>
              </w:rPr>
            </w:pPr>
            <w:r w:rsidRPr="007D1DA1">
              <w:rPr>
                <w:szCs w:val="24"/>
              </w:rPr>
              <w:t xml:space="preserve">Reason Code 302 - Rehire (Re-Establish) </w:t>
            </w:r>
          </w:p>
          <w:p w:rsidR="001F4FF1" w:rsidRPr="007D1DA1" w:rsidRDefault="001F4FF1" w:rsidP="006E029D">
            <w:pPr>
              <w:autoSpaceDE w:val="0"/>
              <w:autoSpaceDN w:val="0"/>
              <w:adjustRightInd w:val="0"/>
              <w:ind w:left="720"/>
              <w:rPr>
                <w:szCs w:val="24"/>
              </w:rPr>
            </w:pPr>
            <w:r w:rsidRPr="007D1DA1">
              <w:rPr>
                <w:szCs w:val="24"/>
              </w:rPr>
              <w:t xml:space="preserve">Reason Code 304 - Reinstate </w:t>
            </w:r>
          </w:p>
          <w:p w:rsidR="001F4FF1" w:rsidRPr="007D1DA1" w:rsidRDefault="001F4FF1" w:rsidP="006E029D">
            <w:pPr>
              <w:autoSpaceDE w:val="0"/>
              <w:autoSpaceDN w:val="0"/>
              <w:adjustRightInd w:val="0"/>
              <w:ind w:left="720"/>
              <w:rPr>
                <w:szCs w:val="24"/>
              </w:rPr>
            </w:pPr>
            <w:r w:rsidRPr="007D1DA1">
              <w:rPr>
                <w:szCs w:val="24"/>
              </w:rPr>
              <w:t xml:space="preserve">Reason Code 013 - Lateral/Competitive Voluntary Transfer </w:t>
            </w:r>
          </w:p>
          <w:p w:rsidR="001F4FF1" w:rsidRPr="007D1DA1" w:rsidRDefault="001F4FF1" w:rsidP="006E029D">
            <w:pPr>
              <w:autoSpaceDE w:val="0"/>
              <w:autoSpaceDN w:val="0"/>
              <w:adjustRightInd w:val="0"/>
              <w:ind w:left="720"/>
              <w:rPr>
                <w:szCs w:val="24"/>
              </w:rPr>
            </w:pPr>
            <w:r w:rsidRPr="007D1DA1">
              <w:rPr>
                <w:szCs w:val="24"/>
              </w:rPr>
              <w:t xml:space="preserve">Reason Code 040 - Promotion </w:t>
            </w:r>
          </w:p>
          <w:p w:rsidR="001F4FF1" w:rsidRPr="007D1DA1" w:rsidRDefault="001F4FF1" w:rsidP="006E029D">
            <w:pPr>
              <w:autoSpaceDE w:val="0"/>
              <w:autoSpaceDN w:val="0"/>
              <w:adjustRightInd w:val="0"/>
              <w:ind w:left="720"/>
              <w:rPr>
                <w:szCs w:val="24"/>
              </w:rPr>
            </w:pPr>
            <w:r w:rsidRPr="007D1DA1">
              <w:rPr>
                <w:szCs w:val="24"/>
              </w:rPr>
              <w:t xml:space="preserve">Reason Code 045 - Faculty Promotion </w:t>
            </w:r>
          </w:p>
          <w:p w:rsidR="001F4FF1" w:rsidRPr="007D1DA1" w:rsidRDefault="001F4FF1" w:rsidP="006E029D">
            <w:pPr>
              <w:autoSpaceDE w:val="0"/>
              <w:autoSpaceDN w:val="0"/>
              <w:adjustRightInd w:val="0"/>
              <w:ind w:left="720"/>
              <w:rPr>
                <w:szCs w:val="24"/>
              </w:rPr>
            </w:pPr>
            <w:r w:rsidRPr="007D1DA1">
              <w:rPr>
                <w:szCs w:val="24"/>
              </w:rPr>
              <w:t>Reason Code 046 – Voluntary Demotion</w:t>
            </w:r>
          </w:p>
          <w:p w:rsidR="001F4FF1" w:rsidRPr="007D1DA1" w:rsidRDefault="001F4FF1" w:rsidP="006E029D">
            <w:pPr>
              <w:autoSpaceDE w:val="0"/>
              <w:autoSpaceDN w:val="0"/>
              <w:adjustRightInd w:val="0"/>
              <w:ind w:left="720"/>
              <w:rPr>
                <w:szCs w:val="24"/>
              </w:rPr>
            </w:pPr>
            <w:r w:rsidRPr="007D1DA1">
              <w:rPr>
                <w:szCs w:val="24"/>
              </w:rPr>
              <w:t xml:space="preserve">Reason Code 050 - Faculty Demotion </w:t>
            </w:r>
          </w:p>
          <w:p w:rsidR="001F4FF1" w:rsidRPr="007D1DA1" w:rsidRDefault="001F4FF1" w:rsidP="006E029D">
            <w:pPr>
              <w:autoSpaceDE w:val="0"/>
              <w:autoSpaceDN w:val="0"/>
              <w:adjustRightInd w:val="0"/>
              <w:ind w:left="720"/>
              <w:rPr>
                <w:szCs w:val="24"/>
              </w:rPr>
            </w:pPr>
            <w:r w:rsidRPr="007D1DA1">
              <w:rPr>
                <w:szCs w:val="24"/>
              </w:rPr>
              <w:t xml:space="preserve">Reason Code 080 - Exceptional Promotion </w:t>
            </w:r>
          </w:p>
          <w:p w:rsidR="001F4FF1" w:rsidRPr="007D1DA1" w:rsidRDefault="001F4FF1" w:rsidP="006E029D">
            <w:pPr>
              <w:autoSpaceDE w:val="0"/>
              <w:autoSpaceDN w:val="0"/>
              <w:adjustRightInd w:val="0"/>
              <w:ind w:left="720"/>
              <w:rPr>
                <w:szCs w:val="24"/>
              </w:rPr>
            </w:pPr>
            <w:r w:rsidRPr="007D1DA1">
              <w:rPr>
                <w:szCs w:val="24"/>
              </w:rPr>
              <w:t xml:space="preserve">Reason Code 081 - Exceptional Demotion </w:t>
            </w:r>
          </w:p>
          <w:p w:rsidR="001F4FF1" w:rsidRPr="007D1DA1" w:rsidRDefault="001F4FF1" w:rsidP="006E029D">
            <w:pPr>
              <w:autoSpaceDE w:val="0"/>
              <w:autoSpaceDN w:val="0"/>
              <w:adjustRightInd w:val="0"/>
              <w:ind w:left="720"/>
              <w:rPr>
                <w:color w:val="000000"/>
                <w:szCs w:val="24"/>
              </w:rPr>
            </w:pPr>
            <w:r w:rsidRPr="007D1DA1">
              <w:rPr>
                <w:szCs w:val="24"/>
              </w:rPr>
              <w:t xml:space="preserve">Reason Code 084 - Exceptional Transfer-In </w:t>
            </w:r>
          </w:p>
        </w:tc>
      </w:tr>
    </w:tbl>
    <w:p w:rsidR="001F4FF1" w:rsidRDefault="001F4FF1" w:rsidP="001F4FF1">
      <w:pPr>
        <w:pStyle w:val="BlockLine"/>
        <w:ind w:left="1350"/>
        <w:rPr>
          <w:sz w:val="16"/>
          <w:szCs w:val="16"/>
        </w:rPr>
      </w:pPr>
    </w:p>
    <w:p w:rsidR="00583A9F" w:rsidRPr="00B16382" w:rsidRDefault="00583A9F" w:rsidP="00B16382"/>
    <w:sectPr w:rsidR="00583A9F" w:rsidRPr="00B16382" w:rsidSect="00EB46C9">
      <w:headerReference w:type="default" r:id="rId19"/>
      <w:footerReference w:type="default" r:id="rId20"/>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4D" w:rsidRDefault="00316A4D" w:rsidP="007C617C">
      <w:pPr>
        <w:pStyle w:val="TableText"/>
      </w:pPr>
      <w:r>
        <w:separator/>
      </w:r>
    </w:p>
  </w:endnote>
  <w:endnote w:type="continuationSeparator" w:id="0">
    <w:p w:rsidR="00316A4D" w:rsidRDefault="00316A4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555C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555C4">
      <w:rPr>
        <w:rStyle w:val="PageNumber"/>
        <w:noProof/>
      </w:rPr>
      <w:t>2</w:t>
    </w:r>
    <w:r>
      <w:rPr>
        <w:rStyle w:val="PageNumber"/>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6C52CC" w:rsidRPr="00FB560F" w:rsidRDefault="005C1DB6" w:rsidP="005C1DB6">
    <w:pPr>
      <w:pStyle w:val="Footer"/>
      <w:jc w:val="center"/>
    </w:pPr>
    <w:r w:rsidRPr="005C1DB6">
      <w:rPr>
        <w:rStyle w:val="Hyperlink"/>
        <w:i/>
        <w:iCs/>
        <w:snapToGrid w:val="0"/>
        <w:sz w:val="22"/>
      </w:rPr>
      <w:t>https://www.doa.virginia.gov/reference/payroll/bulletins.shtml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4D" w:rsidRDefault="00316A4D" w:rsidP="007C617C">
      <w:pPr>
        <w:pStyle w:val="TableText"/>
      </w:pPr>
      <w:r>
        <w:separator/>
      </w:r>
    </w:p>
  </w:footnote>
  <w:footnote w:type="continuationSeparator" w:id="0">
    <w:p w:rsidR="00316A4D" w:rsidRDefault="00316A4D"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rsidTr="00162D27">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w:t>
          </w:r>
          <w:r w:rsidR="00133F31">
            <w:rPr>
              <w:b/>
              <w:sz w:val="20"/>
            </w:rPr>
            <w:t>9</w:t>
          </w:r>
        </w:p>
      </w:tc>
      <w:tc>
        <w:tcPr>
          <w:tcW w:w="3366" w:type="dxa"/>
          <w:tcBorders>
            <w:bottom w:val="double" w:sz="6" w:space="0" w:color="auto"/>
          </w:tcBorders>
        </w:tcPr>
        <w:p w:rsidR="00FB560F" w:rsidRDefault="00E614E7" w:rsidP="00104DF4">
          <w:pPr>
            <w:pStyle w:val="Header"/>
            <w:jc w:val="center"/>
            <w:rPr>
              <w:b/>
              <w:sz w:val="20"/>
            </w:rPr>
          </w:pPr>
          <w:r>
            <w:rPr>
              <w:b/>
              <w:sz w:val="20"/>
            </w:rPr>
            <w:t>March 14</w:t>
          </w:r>
          <w:r w:rsidR="00133F31">
            <w:rPr>
              <w:b/>
              <w:sz w:val="20"/>
            </w:rPr>
            <w:t>, 2019</w:t>
          </w:r>
        </w:p>
      </w:tc>
      <w:tc>
        <w:tcPr>
          <w:tcW w:w="3366" w:type="dxa"/>
          <w:tcBorders>
            <w:bottom w:val="double" w:sz="6" w:space="0" w:color="auto"/>
          </w:tcBorders>
        </w:tcPr>
        <w:p w:rsidR="00FB560F" w:rsidRDefault="00FB560F" w:rsidP="00133F31">
          <w:pPr>
            <w:pStyle w:val="Header"/>
            <w:jc w:val="right"/>
            <w:rPr>
              <w:b/>
              <w:sz w:val="20"/>
            </w:rPr>
          </w:pPr>
          <w:r>
            <w:rPr>
              <w:b/>
              <w:sz w:val="20"/>
            </w:rPr>
            <w:t>Volume 201</w:t>
          </w:r>
          <w:r w:rsidR="00133F31">
            <w:rPr>
              <w:b/>
              <w:sz w:val="20"/>
            </w:rPr>
            <w:t>9</w:t>
          </w:r>
          <w:r>
            <w:rPr>
              <w:b/>
              <w:sz w:val="20"/>
            </w:rPr>
            <w:t>-</w:t>
          </w:r>
          <w:r w:rsidR="00133F31">
            <w:rPr>
              <w:b/>
              <w:sz w:val="20"/>
            </w:rPr>
            <w:t>02</w:t>
          </w:r>
        </w:p>
      </w:tc>
    </w:tr>
  </w:tbl>
  <w:p w:rsidR="00FB560F" w:rsidRDefault="00FB560F" w:rsidP="00F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25"/>
    <w:multiLevelType w:val="hybridMultilevel"/>
    <w:tmpl w:val="8E8281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33C1C"/>
    <w:multiLevelType w:val="hybridMultilevel"/>
    <w:tmpl w:val="DEF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403FF6"/>
    <w:multiLevelType w:val="hybridMultilevel"/>
    <w:tmpl w:val="1B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9"/>
  </w:num>
  <w:num w:numId="10">
    <w:abstractNumId w:val="0"/>
  </w:num>
  <w:num w:numId="11">
    <w:abstractNumId w:val="5"/>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25A98"/>
    <w:rsid w:val="00031C2F"/>
    <w:rsid w:val="000325BD"/>
    <w:rsid w:val="00033078"/>
    <w:rsid w:val="000343C1"/>
    <w:rsid w:val="00034A69"/>
    <w:rsid w:val="00034ABB"/>
    <w:rsid w:val="00042CF3"/>
    <w:rsid w:val="00043092"/>
    <w:rsid w:val="00043C21"/>
    <w:rsid w:val="00046661"/>
    <w:rsid w:val="0005668B"/>
    <w:rsid w:val="000575E6"/>
    <w:rsid w:val="00062288"/>
    <w:rsid w:val="00066F92"/>
    <w:rsid w:val="00070655"/>
    <w:rsid w:val="000736C4"/>
    <w:rsid w:val="00073D12"/>
    <w:rsid w:val="00074937"/>
    <w:rsid w:val="0007613B"/>
    <w:rsid w:val="00076F0B"/>
    <w:rsid w:val="0008335C"/>
    <w:rsid w:val="00086DA9"/>
    <w:rsid w:val="00086DEB"/>
    <w:rsid w:val="00087B54"/>
    <w:rsid w:val="00094305"/>
    <w:rsid w:val="000961E6"/>
    <w:rsid w:val="000A1B5C"/>
    <w:rsid w:val="000A425E"/>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010BF"/>
    <w:rsid w:val="00104DF4"/>
    <w:rsid w:val="00115C5B"/>
    <w:rsid w:val="00117B7F"/>
    <w:rsid w:val="00121380"/>
    <w:rsid w:val="0012199B"/>
    <w:rsid w:val="001219C0"/>
    <w:rsid w:val="00123E43"/>
    <w:rsid w:val="001250AB"/>
    <w:rsid w:val="001250BA"/>
    <w:rsid w:val="00131DF6"/>
    <w:rsid w:val="00133F31"/>
    <w:rsid w:val="001351EE"/>
    <w:rsid w:val="00135F2B"/>
    <w:rsid w:val="00136A70"/>
    <w:rsid w:val="0013736C"/>
    <w:rsid w:val="00141255"/>
    <w:rsid w:val="001418A6"/>
    <w:rsid w:val="00141BFF"/>
    <w:rsid w:val="001470B2"/>
    <w:rsid w:val="00150108"/>
    <w:rsid w:val="001514CE"/>
    <w:rsid w:val="00151D7E"/>
    <w:rsid w:val="001522AD"/>
    <w:rsid w:val="001524A6"/>
    <w:rsid w:val="001532E5"/>
    <w:rsid w:val="001555C4"/>
    <w:rsid w:val="00156C2F"/>
    <w:rsid w:val="00156F49"/>
    <w:rsid w:val="00162130"/>
    <w:rsid w:val="0016577E"/>
    <w:rsid w:val="001661AD"/>
    <w:rsid w:val="00166AE2"/>
    <w:rsid w:val="00167683"/>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0CC"/>
    <w:rsid w:val="001D13F4"/>
    <w:rsid w:val="001D3036"/>
    <w:rsid w:val="001D4288"/>
    <w:rsid w:val="001D50E1"/>
    <w:rsid w:val="001D51E9"/>
    <w:rsid w:val="001D5D8F"/>
    <w:rsid w:val="001D7553"/>
    <w:rsid w:val="001E1CD9"/>
    <w:rsid w:val="001E2A7B"/>
    <w:rsid w:val="001E2CFE"/>
    <w:rsid w:val="001E5787"/>
    <w:rsid w:val="001E6E76"/>
    <w:rsid w:val="001F0A04"/>
    <w:rsid w:val="001F0A73"/>
    <w:rsid w:val="001F0EC9"/>
    <w:rsid w:val="001F166C"/>
    <w:rsid w:val="001F231B"/>
    <w:rsid w:val="001F4FF1"/>
    <w:rsid w:val="001F58EC"/>
    <w:rsid w:val="00200C55"/>
    <w:rsid w:val="00201D45"/>
    <w:rsid w:val="00203860"/>
    <w:rsid w:val="0020718C"/>
    <w:rsid w:val="0021069C"/>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A7134"/>
    <w:rsid w:val="002B24A6"/>
    <w:rsid w:val="002B2504"/>
    <w:rsid w:val="002B2DD4"/>
    <w:rsid w:val="002C0D88"/>
    <w:rsid w:val="002C1B54"/>
    <w:rsid w:val="002C2601"/>
    <w:rsid w:val="002C3A91"/>
    <w:rsid w:val="002D1662"/>
    <w:rsid w:val="002D2DAB"/>
    <w:rsid w:val="002D46F7"/>
    <w:rsid w:val="002D5501"/>
    <w:rsid w:val="002D6045"/>
    <w:rsid w:val="002D742F"/>
    <w:rsid w:val="002E1208"/>
    <w:rsid w:val="002E5874"/>
    <w:rsid w:val="002F01F8"/>
    <w:rsid w:val="002F02B0"/>
    <w:rsid w:val="002F0E27"/>
    <w:rsid w:val="002F2757"/>
    <w:rsid w:val="002F6F61"/>
    <w:rsid w:val="00300217"/>
    <w:rsid w:val="00302013"/>
    <w:rsid w:val="00303AB2"/>
    <w:rsid w:val="00304474"/>
    <w:rsid w:val="0030540F"/>
    <w:rsid w:val="00305AE0"/>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0CA"/>
    <w:rsid w:val="0035312D"/>
    <w:rsid w:val="00353733"/>
    <w:rsid w:val="00353940"/>
    <w:rsid w:val="00354876"/>
    <w:rsid w:val="00357860"/>
    <w:rsid w:val="0036539D"/>
    <w:rsid w:val="003655B0"/>
    <w:rsid w:val="00365D95"/>
    <w:rsid w:val="00366919"/>
    <w:rsid w:val="00366A23"/>
    <w:rsid w:val="00367AD1"/>
    <w:rsid w:val="00370336"/>
    <w:rsid w:val="0037142A"/>
    <w:rsid w:val="00372196"/>
    <w:rsid w:val="00375835"/>
    <w:rsid w:val="00380089"/>
    <w:rsid w:val="00383B20"/>
    <w:rsid w:val="00387430"/>
    <w:rsid w:val="003878BE"/>
    <w:rsid w:val="00390379"/>
    <w:rsid w:val="00393AD1"/>
    <w:rsid w:val="00394137"/>
    <w:rsid w:val="003960F4"/>
    <w:rsid w:val="003975ED"/>
    <w:rsid w:val="003A1CF2"/>
    <w:rsid w:val="003A21D1"/>
    <w:rsid w:val="003A299C"/>
    <w:rsid w:val="003A53F0"/>
    <w:rsid w:val="003A5AA1"/>
    <w:rsid w:val="003B0A0C"/>
    <w:rsid w:val="003B0D56"/>
    <w:rsid w:val="003B1967"/>
    <w:rsid w:val="003B34C8"/>
    <w:rsid w:val="003B75D4"/>
    <w:rsid w:val="003C08CA"/>
    <w:rsid w:val="003C6837"/>
    <w:rsid w:val="003C6D11"/>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7DA"/>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56"/>
    <w:rsid w:val="00451F9A"/>
    <w:rsid w:val="00452D65"/>
    <w:rsid w:val="00454635"/>
    <w:rsid w:val="00455D62"/>
    <w:rsid w:val="00455DC9"/>
    <w:rsid w:val="00456CD8"/>
    <w:rsid w:val="00456F7A"/>
    <w:rsid w:val="00457169"/>
    <w:rsid w:val="00463F34"/>
    <w:rsid w:val="0046402E"/>
    <w:rsid w:val="0046406B"/>
    <w:rsid w:val="00466FB2"/>
    <w:rsid w:val="0047065E"/>
    <w:rsid w:val="00470A8B"/>
    <w:rsid w:val="00472253"/>
    <w:rsid w:val="00480977"/>
    <w:rsid w:val="0048151B"/>
    <w:rsid w:val="00481C94"/>
    <w:rsid w:val="00483721"/>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546B"/>
    <w:rsid w:val="00505570"/>
    <w:rsid w:val="00506503"/>
    <w:rsid w:val="0050784B"/>
    <w:rsid w:val="00512FE1"/>
    <w:rsid w:val="005142FF"/>
    <w:rsid w:val="00517AEE"/>
    <w:rsid w:val="00524A2D"/>
    <w:rsid w:val="00525773"/>
    <w:rsid w:val="00526582"/>
    <w:rsid w:val="00532965"/>
    <w:rsid w:val="00534AC1"/>
    <w:rsid w:val="0053594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A9F"/>
    <w:rsid w:val="00583B6D"/>
    <w:rsid w:val="00583C5C"/>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5D61"/>
    <w:rsid w:val="005B7235"/>
    <w:rsid w:val="005C06FB"/>
    <w:rsid w:val="005C1DB6"/>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033"/>
    <w:rsid w:val="00605F55"/>
    <w:rsid w:val="006060E3"/>
    <w:rsid w:val="00606AA5"/>
    <w:rsid w:val="006070FB"/>
    <w:rsid w:val="00607472"/>
    <w:rsid w:val="00607A94"/>
    <w:rsid w:val="00622B95"/>
    <w:rsid w:val="0062309A"/>
    <w:rsid w:val="00623308"/>
    <w:rsid w:val="00625931"/>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7FB5"/>
    <w:rsid w:val="006E0CC5"/>
    <w:rsid w:val="006E2261"/>
    <w:rsid w:val="006E3051"/>
    <w:rsid w:val="006E31CE"/>
    <w:rsid w:val="006E39E2"/>
    <w:rsid w:val="006E4573"/>
    <w:rsid w:val="006E5E26"/>
    <w:rsid w:val="006E6056"/>
    <w:rsid w:val="006E607C"/>
    <w:rsid w:val="006F1E29"/>
    <w:rsid w:val="006F2520"/>
    <w:rsid w:val="00702956"/>
    <w:rsid w:val="007059AE"/>
    <w:rsid w:val="0070639D"/>
    <w:rsid w:val="00706FBF"/>
    <w:rsid w:val="00707363"/>
    <w:rsid w:val="00707445"/>
    <w:rsid w:val="00710C7B"/>
    <w:rsid w:val="00711332"/>
    <w:rsid w:val="00712686"/>
    <w:rsid w:val="00712A9A"/>
    <w:rsid w:val="0071546B"/>
    <w:rsid w:val="00715AF0"/>
    <w:rsid w:val="00717561"/>
    <w:rsid w:val="00717BAD"/>
    <w:rsid w:val="00717C4F"/>
    <w:rsid w:val="0072052B"/>
    <w:rsid w:val="00724707"/>
    <w:rsid w:val="00724DD4"/>
    <w:rsid w:val="00727ECC"/>
    <w:rsid w:val="00727FE5"/>
    <w:rsid w:val="00730C32"/>
    <w:rsid w:val="007318F5"/>
    <w:rsid w:val="00731B7C"/>
    <w:rsid w:val="00734EA1"/>
    <w:rsid w:val="00735FB7"/>
    <w:rsid w:val="007362A9"/>
    <w:rsid w:val="00741CCB"/>
    <w:rsid w:val="00742F44"/>
    <w:rsid w:val="0074507F"/>
    <w:rsid w:val="00745CCB"/>
    <w:rsid w:val="00747234"/>
    <w:rsid w:val="00751578"/>
    <w:rsid w:val="00751DFE"/>
    <w:rsid w:val="00752C5D"/>
    <w:rsid w:val="0075322A"/>
    <w:rsid w:val="007554A7"/>
    <w:rsid w:val="00756802"/>
    <w:rsid w:val="007642DD"/>
    <w:rsid w:val="007643AE"/>
    <w:rsid w:val="00766EA7"/>
    <w:rsid w:val="0077085D"/>
    <w:rsid w:val="00772164"/>
    <w:rsid w:val="00775CE6"/>
    <w:rsid w:val="00780A2B"/>
    <w:rsid w:val="0078252D"/>
    <w:rsid w:val="00782A69"/>
    <w:rsid w:val="007853A4"/>
    <w:rsid w:val="00785536"/>
    <w:rsid w:val="00794E64"/>
    <w:rsid w:val="00796B08"/>
    <w:rsid w:val="00796F35"/>
    <w:rsid w:val="007A0129"/>
    <w:rsid w:val="007A2EC0"/>
    <w:rsid w:val="007A3641"/>
    <w:rsid w:val="007A3887"/>
    <w:rsid w:val="007A5716"/>
    <w:rsid w:val="007A7707"/>
    <w:rsid w:val="007B4906"/>
    <w:rsid w:val="007B66D2"/>
    <w:rsid w:val="007C1FE8"/>
    <w:rsid w:val="007C31E0"/>
    <w:rsid w:val="007C3C23"/>
    <w:rsid w:val="007C4CAE"/>
    <w:rsid w:val="007C59FE"/>
    <w:rsid w:val="007C617C"/>
    <w:rsid w:val="007D1DA1"/>
    <w:rsid w:val="007D2928"/>
    <w:rsid w:val="007D3A96"/>
    <w:rsid w:val="007D4CFA"/>
    <w:rsid w:val="007D7651"/>
    <w:rsid w:val="007D7B42"/>
    <w:rsid w:val="007E035E"/>
    <w:rsid w:val="007E1309"/>
    <w:rsid w:val="007E135F"/>
    <w:rsid w:val="007E18E8"/>
    <w:rsid w:val="007E1939"/>
    <w:rsid w:val="007E3F95"/>
    <w:rsid w:val="007E4728"/>
    <w:rsid w:val="007F01E6"/>
    <w:rsid w:val="007F03A7"/>
    <w:rsid w:val="007F18DE"/>
    <w:rsid w:val="007F391B"/>
    <w:rsid w:val="007F4407"/>
    <w:rsid w:val="008021E4"/>
    <w:rsid w:val="00803D3A"/>
    <w:rsid w:val="008065B7"/>
    <w:rsid w:val="00806D01"/>
    <w:rsid w:val="00810C80"/>
    <w:rsid w:val="00811D1B"/>
    <w:rsid w:val="008160DF"/>
    <w:rsid w:val="00816153"/>
    <w:rsid w:val="008166F8"/>
    <w:rsid w:val="00816FA7"/>
    <w:rsid w:val="008171AE"/>
    <w:rsid w:val="00817D0C"/>
    <w:rsid w:val="0082456A"/>
    <w:rsid w:val="008261C2"/>
    <w:rsid w:val="00826CA5"/>
    <w:rsid w:val="008311A0"/>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4EBD"/>
    <w:rsid w:val="008574E4"/>
    <w:rsid w:val="0086329F"/>
    <w:rsid w:val="00864037"/>
    <w:rsid w:val="00864155"/>
    <w:rsid w:val="00864631"/>
    <w:rsid w:val="0086488F"/>
    <w:rsid w:val="008777E1"/>
    <w:rsid w:val="00887519"/>
    <w:rsid w:val="00890F2E"/>
    <w:rsid w:val="00891123"/>
    <w:rsid w:val="008913CF"/>
    <w:rsid w:val="008921FC"/>
    <w:rsid w:val="008927EB"/>
    <w:rsid w:val="00895682"/>
    <w:rsid w:val="00895CC1"/>
    <w:rsid w:val="008A10CF"/>
    <w:rsid w:val="008A189F"/>
    <w:rsid w:val="008A2211"/>
    <w:rsid w:val="008A3F52"/>
    <w:rsid w:val="008A4211"/>
    <w:rsid w:val="008A4B56"/>
    <w:rsid w:val="008A6934"/>
    <w:rsid w:val="008B14BA"/>
    <w:rsid w:val="008B468E"/>
    <w:rsid w:val="008B569E"/>
    <w:rsid w:val="008C1349"/>
    <w:rsid w:val="008C245B"/>
    <w:rsid w:val="008C32F7"/>
    <w:rsid w:val="008C3502"/>
    <w:rsid w:val="008C5F72"/>
    <w:rsid w:val="008C63E5"/>
    <w:rsid w:val="008C6A44"/>
    <w:rsid w:val="008C75E2"/>
    <w:rsid w:val="008D07C3"/>
    <w:rsid w:val="008D1C74"/>
    <w:rsid w:val="008D3FAD"/>
    <w:rsid w:val="008D57D8"/>
    <w:rsid w:val="008E134A"/>
    <w:rsid w:val="008E2626"/>
    <w:rsid w:val="008E32D6"/>
    <w:rsid w:val="008E50A9"/>
    <w:rsid w:val="008E746E"/>
    <w:rsid w:val="008F3AF2"/>
    <w:rsid w:val="008F3BD5"/>
    <w:rsid w:val="008F47C8"/>
    <w:rsid w:val="008F62A3"/>
    <w:rsid w:val="008F6825"/>
    <w:rsid w:val="009076A0"/>
    <w:rsid w:val="00913377"/>
    <w:rsid w:val="00913F7A"/>
    <w:rsid w:val="009163A8"/>
    <w:rsid w:val="00917165"/>
    <w:rsid w:val="00921F3F"/>
    <w:rsid w:val="00923D1B"/>
    <w:rsid w:val="0092578B"/>
    <w:rsid w:val="00925A57"/>
    <w:rsid w:val="00930511"/>
    <w:rsid w:val="0093103D"/>
    <w:rsid w:val="009310B9"/>
    <w:rsid w:val="00932B21"/>
    <w:rsid w:val="009333CC"/>
    <w:rsid w:val="0093529B"/>
    <w:rsid w:val="0094459B"/>
    <w:rsid w:val="00947EBA"/>
    <w:rsid w:val="009546F4"/>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1FAB"/>
    <w:rsid w:val="009A31DA"/>
    <w:rsid w:val="009B0344"/>
    <w:rsid w:val="009B5C46"/>
    <w:rsid w:val="009B615D"/>
    <w:rsid w:val="009B7F8F"/>
    <w:rsid w:val="009C26A2"/>
    <w:rsid w:val="009C2A98"/>
    <w:rsid w:val="009C511D"/>
    <w:rsid w:val="009C7006"/>
    <w:rsid w:val="009D2747"/>
    <w:rsid w:val="009D2A50"/>
    <w:rsid w:val="009D3C2C"/>
    <w:rsid w:val="009D3E0E"/>
    <w:rsid w:val="009E2E63"/>
    <w:rsid w:val="009E39F8"/>
    <w:rsid w:val="009E4E88"/>
    <w:rsid w:val="009E52F9"/>
    <w:rsid w:val="009F20BC"/>
    <w:rsid w:val="00A11762"/>
    <w:rsid w:val="00A2291F"/>
    <w:rsid w:val="00A233AB"/>
    <w:rsid w:val="00A257D7"/>
    <w:rsid w:val="00A30329"/>
    <w:rsid w:val="00A30356"/>
    <w:rsid w:val="00A32093"/>
    <w:rsid w:val="00A36793"/>
    <w:rsid w:val="00A37032"/>
    <w:rsid w:val="00A37D19"/>
    <w:rsid w:val="00A40BC9"/>
    <w:rsid w:val="00A410D5"/>
    <w:rsid w:val="00A41784"/>
    <w:rsid w:val="00A41878"/>
    <w:rsid w:val="00A42936"/>
    <w:rsid w:val="00A45FFF"/>
    <w:rsid w:val="00A473AE"/>
    <w:rsid w:val="00A503EC"/>
    <w:rsid w:val="00A50E93"/>
    <w:rsid w:val="00A50F05"/>
    <w:rsid w:val="00A538E0"/>
    <w:rsid w:val="00A61C23"/>
    <w:rsid w:val="00A631FF"/>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18DE"/>
    <w:rsid w:val="00A949F2"/>
    <w:rsid w:val="00A95853"/>
    <w:rsid w:val="00AA02B8"/>
    <w:rsid w:val="00AA1107"/>
    <w:rsid w:val="00AA2F50"/>
    <w:rsid w:val="00AA5271"/>
    <w:rsid w:val="00AA6E65"/>
    <w:rsid w:val="00AB1C7D"/>
    <w:rsid w:val="00AB1E3D"/>
    <w:rsid w:val="00AB3024"/>
    <w:rsid w:val="00AB30C5"/>
    <w:rsid w:val="00AB3D57"/>
    <w:rsid w:val="00AB3D83"/>
    <w:rsid w:val="00AC1766"/>
    <w:rsid w:val="00AC190C"/>
    <w:rsid w:val="00AC2B37"/>
    <w:rsid w:val="00AC55EE"/>
    <w:rsid w:val="00AC5ABA"/>
    <w:rsid w:val="00AC75AC"/>
    <w:rsid w:val="00AD1C88"/>
    <w:rsid w:val="00AD2D12"/>
    <w:rsid w:val="00AD57C5"/>
    <w:rsid w:val="00AD76F9"/>
    <w:rsid w:val="00AE69F4"/>
    <w:rsid w:val="00AF1BC9"/>
    <w:rsid w:val="00AF4B73"/>
    <w:rsid w:val="00AF580B"/>
    <w:rsid w:val="00B010B5"/>
    <w:rsid w:val="00B02B91"/>
    <w:rsid w:val="00B0492E"/>
    <w:rsid w:val="00B123F4"/>
    <w:rsid w:val="00B12FAE"/>
    <w:rsid w:val="00B1568E"/>
    <w:rsid w:val="00B16382"/>
    <w:rsid w:val="00B258F0"/>
    <w:rsid w:val="00B30BF1"/>
    <w:rsid w:val="00B30F94"/>
    <w:rsid w:val="00B31359"/>
    <w:rsid w:val="00B34E8B"/>
    <w:rsid w:val="00B355C9"/>
    <w:rsid w:val="00B37DA8"/>
    <w:rsid w:val="00B40EBE"/>
    <w:rsid w:val="00B41B58"/>
    <w:rsid w:val="00B429F3"/>
    <w:rsid w:val="00B43051"/>
    <w:rsid w:val="00B441DE"/>
    <w:rsid w:val="00B44EEF"/>
    <w:rsid w:val="00B45D4C"/>
    <w:rsid w:val="00B50366"/>
    <w:rsid w:val="00B53102"/>
    <w:rsid w:val="00B57FD1"/>
    <w:rsid w:val="00B616B0"/>
    <w:rsid w:val="00B6314A"/>
    <w:rsid w:val="00B67F50"/>
    <w:rsid w:val="00B71E6F"/>
    <w:rsid w:val="00B71FF4"/>
    <w:rsid w:val="00B7244F"/>
    <w:rsid w:val="00B73FF0"/>
    <w:rsid w:val="00B74AA4"/>
    <w:rsid w:val="00B752FA"/>
    <w:rsid w:val="00B82E5A"/>
    <w:rsid w:val="00B83B7A"/>
    <w:rsid w:val="00B84335"/>
    <w:rsid w:val="00B85C31"/>
    <w:rsid w:val="00B86004"/>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D30F0"/>
    <w:rsid w:val="00BE4539"/>
    <w:rsid w:val="00BE658C"/>
    <w:rsid w:val="00BE70FF"/>
    <w:rsid w:val="00BE7A31"/>
    <w:rsid w:val="00BF1880"/>
    <w:rsid w:val="00BF3CF9"/>
    <w:rsid w:val="00BF5C9E"/>
    <w:rsid w:val="00BF6376"/>
    <w:rsid w:val="00BF764F"/>
    <w:rsid w:val="00C00364"/>
    <w:rsid w:val="00C01D2F"/>
    <w:rsid w:val="00C02540"/>
    <w:rsid w:val="00C051EB"/>
    <w:rsid w:val="00C0640D"/>
    <w:rsid w:val="00C06F28"/>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71274"/>
    <w:rsid w:val="00C818AF"/>
    <w:rsid w:val="00C82A46"/>
    <w:rsid w:val="00C82C4C"/>
    <w:rsid w:val="00C835D6"/>
    <w:rsid w:val="00C84345"/>
    <w:rsid w:val="00C846A1"/>
    <w:rsid w:val="00C912BE"/>
    <w:rsid w:val="00C9136D"/>
    <w:rsid w:val="00C9634C"/>
    <w:rsid w:val="00CA152E"/>
    <w:rsid w:val="00CA3B05"/>
    <w:rsid w:val="00CA5711"/>
    <w:rsid w:val="00CA7469"/>
    <w:rsid w:val="00CB00E9"/>
    <w:rsid w:val="00CB4D8E"/>
    <w:rsid w:val="00CB547E"/>
    <w:rsid w:val="00CC01FD"/>
    <w:rsid w:val="00CD2B63"/>
    <w:rsid w:val="00CD517B"/>
    <w:rsid w:val="00CE0296"/>
    <w:rsid w:val="00CE2915"/>
    <w:rsid w:val="00CE4F24"/>
    <w:rsid w:val="00CE61F2"/>
    <w:rsid w:val="00CF0C6F"/>
    <w:rsid w:val="00CF0FC6"/>
    <w:rsid w:val="00CF2177"/>
    <w:rsid w:val="00CF6740"/>
    <w:rsid w:val="00CF753A"/>
    <w:rsid w:val="00CF7C20"/>
    <w:rsid w:val="00D019DA"/>
    <w:rsid w:val="00D02C5C"/>
    <w:rsid w:val="00D05159"/>
    <w:rsid w:val="00D0787D"/>
    <w:rsid w:val="00D07E00"/>
    <w:rsid w:val="00D12213"/>
    <w:rsid w:val="00D14E1B"/>
    <w:rsid w:val="00D16DD9"/>
    <w:rsid w:val="00D219E3"/>
    <w:rsid w:val="00D23198"/>
    <w:rsid w:val="00D23E54"/>
    <w:rsid w:val="00D27651"/>
    <w:rsid w:val="00D27A2D"/>
    <w:rsid w:val="00D309F5"/>
    <w:rsid w:val="00D3105B"/>
    <w:rsid w:val="00D34E0B"/>
    <w:rsid w:val="00D3569F"/>
    <w:rsid w:val="00D359C2"/>
    <w:rsid w:val="00D35C6B"/>
    <w:rsid w:val="00D3608B"/>
    <w:rsid w:val="00D41572"/>
    <w:rsid w:val="00D444E8"/>
    <w:rsid w:val="00D44B62"/>
    <w:rsid w:val="00D44E98"/>
    <w:rsid w:val="00D45AC8"/>
    <w:rsid w:val="00D467F1"/>
    <w:rsid w:val="00D4682B"/>
    <w:rsid w:val="00D46C87"/>
    <w:rsid w:val="00D55350"/>
    <w:rsid w:val="00D55B54"/>
    <w:rsid w:val="00D57A92"/>
    <w:rsid w:val="00D57E52"/>
    <w:rsid w:val="00D6193B"/>
    <w:rsid w:val="00D638F8"/>
    <w:rsid w:val="00D66BDE"/>
    <w:rsid w:val="00D67163"/>
    <w:rsid w:val="00D7003C"/>
    <w:rsid w:val="00D74632"/>
    <w:rsid w:val="00D75285"/>
    <w:rsid w:val="00D75555"/>
    <w:rsid w:val="00D75776"/>
    <w:rsid w:val="00D7602A"/>
    <w:rsid w:val="00D76524"/>
    <w:rsid w:val="00D76A67"/>
    <w:rsid w:val="00D7763D"/>
    <w:rsid w:val="00D77F65"/>
    <w:rsid w:val="00D81380"/>
    <w:rsid w:val="00D84381"/>
    <w:rsid w:val="00D844E3"/>
    <w:rsid w:val="00D907FA"/>
    <w:rsid w:val="00D9263F"/>
    <w:rsid w:val="00D92812"/>
    <w:rsid w:val="00D92AAE"/>
    <w:rsid w:val="00D9369E"/>
    <w:rsid w:val="00D96D56"/>
    <w:rsid w:val="00DA250B"/>
    <w:rsid w:val="00DA40E2"/>
    <w:rsid w:val="00DA5716"/>
    <w:rsid w:val="00DA57FB"/>
    <w:rsid w:val="00DA7C9E"/>
    <w:rsid w:val="00DB1E80"/>
    <w:rsid w:val="00DB343C"/>
    <w:rsid w:val="00DB3BCF"/>
    <w:rsid w:val="00DB42E2"/>
    <w:rsid w:val="00DB66E3"/>
    <w:rsid w:val="00DB7CC5"/>
    <w:rsid w:val="00DC107D"/>
    <w:rsid w:val="00DC1104"/>
    <w:rsid w:val="00DC3732"/>
    <w:rsid w:val="00DC380A"/>
    <w:rsid w:val="00DD049D"/>
    <w:rsid w:val="00DD1E6B"/>
    <w:rsid w:val="00DD2B3C"/>
    <w:rsid w:val="00DD3C63"/>
    <w:rsid w:val="00DD5BB1"/>
    <w:rsid w:val="00DD738B"/>
    <w:rsid w:val="00DD7EA7"/>
    <w:rsid w:val="00DE6F9C"/>
    <w:rsid w:val="00DF4C23"/>
    <w:rsid w:val="00DF6054"/>
    <w:rsid w:val="00DF70AF"/>
    <w:rsid w:val="00E01FE9"/>
    <w:rsid w:val="00E03D1D"/>
    <w:rsid w:val="00E12915"/>
    <w:rsid w:val="00E1485E"/>
    <w:rsid w:val="00E21BC9"/>
    <w:rsid w:val="00E23E2B"/>
    <w:rsid w:val="00E247CD"/>
    <w:rsid w:val="00E25B2C"/>
    <w:rsid w:val="00E2698B"/>
    <w:rsid w:val="00E33A22"/>
    <w:rsid w:val="00E3574D"/>
    <w:rsid w:val="00E402A2"/>
    <w:rsid w:val="00E40B2D"/>
    <w:rsid w:val="00E421BF"/>
    <w:rsid w:val="00E4265A"/>
    <w:rsid w:val="00E45FEF"/>
    <w:rsid w:val="00E47E0E"/>
    <w:rsid w:val="00E52BB4"/>
    <w:rsid w:val="00E52C4B"/>
    <w:rsid w:val="00E54261"/>
    <w:rsid w:val="00E54849"/>
    <w:rsid w:val="00E5578D"/>
    <w:rsid w:val="00E56C2B"/>
    <w:rsid w:val="00E56FF6"/>
    <w:rsid w:val="00E57208"/>
    <w:rsid w:val="00E60425"/>
    <w:rsid w:val="00E605D2"/>
    <w:rsid w:val="00E614E7"/>
    <w:rsid w:val="00E61AE4"/>
    <w:rsid w:val="00E6267E"/>
    <w:rsid w:val="00E638C9"/>
    <w:rsid w:val="00E67B23"/>
    <w:rsid w:val="00E704E4"/>
    <w:rsid w:val="00E71020"/>
    <w:rsid w:val="00E71BD8"/>
    <w:rsid w:val="00E7215F"/>
    <w:rsid w:val="00E73A86"/>
    <w:rsid w:val="00E74AF7"/>
    <w:rsid w:val="00E776C2"/>
    <w:rsid w:val="00E805DB"/>
    <w:rsid w:val="00E81A76"/>
    <w:rsid w:val="00E867CC"/>
    <w:rsid w:val="00E87CEB"/>
    <w:rsid w:val="00E95A13"/>
    <w:rsid w:val="00E97468"/>
    <w:rsid w:val="00EA3BD2"/>
    <w:rsid w:val="00EA6919"/>
    <w:rsid w:val="00EB02B0"/>
    <w:rsid w:val="00EB0BE7"/>
    <w:rsid w:val="00EB11F4"/>
    <w:rsid w:val="00EB1D8C"/>
    <w:rsid w:val="00EB2575"/>
    <w:rsid w:val="00EB26E9"/>
    <w:rsid w:val="00EB3882"/>
    <w:rsid w:val="00EB46C9"/>
    <w:rsid w:val="00EB4C93"/>
    <w:rsid w:val="00EB5B77"/>
    <w:rsid w:val="00EB6D63"/>
    <w:rsid w:val="00EC110D"/>
    <w:rsid w:val="00EC4DE3"/>
    <w:rsid w:val="00ED046B"/>
    <w:rsid w:val="00ED0B4A"/>
    <w:rsid w:val="00ED2059"/>
    <w:rsid w:val="00ED369F"/>
    <w:rsid w:val="00ED39A1"/>
    <w:rsid w:val="00ED41B6"/>
    <w:rsid w:val="00ED4E02"/>
    <w:rsid w:val="00ED59DD"/>
    <w:rsid w:val="00ED7461"/>
    <w:rsid w:val="00EE0E75"/>
    <w:rsid w:val="00EE367A"/>
    <w:rsid w:val="00EE370B"/>
    <w:rsid w:val="00EE47B8"/>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23"/>
    <w:rsid w:val="00F56CFC"/>
    <w:rsid w:val="00F57D52"/>
    <w:rsid w:val="00F60457"/>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D4"/>
    <w:rsid w:val="00FA68FE"/>
    <w:rsid w:val="00FB3B1F"/>
    <w:rsid w:val="00FB3C5A"/>
    <w:rsid w:val="00FB3D46"/>
    <w:rsid w:val="00FB3F57"/>
    <w:rsid w:val="00FB497C"/>
    <w:rsid w:val="00FB560F"/>
    <w:rsid w:val="00FB64BF"/>
    <w:rsid w:val="00FC3BFC"/>
    <w:rsid w:val="00FC705A"/>
    <w:rsid w:val="00FD0CE9"/>
    <w:rsid w:val="00FD2DCF"/>
    <w:rsid w:val="00FD3035"/>
    <w:rsid w:val="00FD38FA"/>
    <w:rsid w:val="00FD78DF"/>
    <w:rsid w:val="00FE2D18"/>
    <w:rsid w:val="00FE5851"/>
    <w:rsid w:val="00FE61F1"/>
    <w:rsid w:val="00FF151D"/>
    <w:rsid w:val="00FF2C80"/>
    <w:rsid w:val="00FF3642"/>
    <w:rsid w:val="00FF4C98"/>
    <w:rsid w:val="00FF679F"/>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a.virginia.gov/reference/payroll/CIPPS_Training_Manual.shtml" TargetMode="External"/><Relationship Id="rId18" Type="http://schemas.openxmlformats.org/officeDocument/2006/relationships/hyperlink" Target="https://www.doa.virginia.gov/forms/Payroll/DirectDeposi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ventbrite.com/e/cipps-introductory-leave-training-tickets-58435719811?aff=utm_source%3Deb_email%26utm_medium%3Demail%26utm_campaign%3Dnew_event_email&amp;utm_term=eventurl_text" TargetMode="External"/><Relationship Id="rId17" Type="http://schemas.openxmlformats.org/officeDocument/2006/relationships/hyperlink" Target="mailto:john.smith@doa.virginia.gov" TargetMode="External"/><Relationship Id="rId2" Type="http://schemas.openxmlformats.org/officeDocument/2006/relationships/numbering" Target="numbering.xml"/><Relationship Id="rId16" Type="http://schemas.openxmlformats.org/officeDocument/2006/relationships/hyperlink" Target="mailto:wrts436@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m/e/cipps-introductory-payroll-training-tickets-58435482100?aff=utm_source%3Deb_email%26utm_medium%3Demail%26utm_campaign%3Dnew_event_email&amp;utm_term=eventurl_text" TargetMode="External"/><Relationship Id="rId5" Type="http://schemas.openxmlformats.org/officeDocument/2006/relationships/settings" Target="settings.xml"/><Relationship Id="rId15" Type="http://schemas.openxmlformats.org/officeDocument/2006/relationships/hyperlink" Target="https://www.doa.virginia.gov/forms/Payline/PaylinePATSecurityForm.pdf" TargetMode="External"/><Relationship Id="rId10" Type="http://schemas.openxmlformats.org/officeDocument/2006/relationships/hyperlink" Target="mailto:payroll@doa.virginia.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yperlink" Target="https://www.doa.virginia.gov/reference/payroll/index.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547F-5629-4DAD-A27B-5E2083D2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9806</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Attuso, Diana (DOA)</cp:lastModifiedBy>
  <cp:revision>2</cp:revision>
  <cp:lastPrinted>2019-03-14T12:13:00Z</cp:lastPrinted>
  <dcterms:created xsi:type="dcterms:W3CDTF">2019-03-14T12:44:00Z</dcterms:created>
  <dcterms:modified xsi:type="dcterms:W3CDTF">2019-03-14T12:44:00Z</dcterms:modified>
  <cp:category>Payroll Bulletin 2015-12</cp:category>
</cp:coreProperties>
</file>