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bookmarkStart w:id="0" w:name="_GoBack"/>
      <w:bookmarkEnd w:id="0"/>
      <w:r>
        <w:rPr>
          <w:b/>
          <w:i/>
          <w:sz w:val="36"/>
        </w:rPr>
        <w:t>Department of Accounts</w:t>
      </w:r>
    </w:p>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Ind w:w="108" w:type="dxa"/>
        <w:tblLayout w:type="fixed"/>
        <w:tblLook w:val="0000" w:firstRow="0" w:lastRow="0" w:firstColumn="0" w:lastColumn="0" w:noHBand="0" w:noVBand="0"/>
      </w:tblPr>
      <w:tblGrid>
        <w:gridCol w:w="3258"/>
        <w:gridCol w:w="3366"/>
        <w:gridCol w:w="4176"/>
      </w:tblGrid>
      <w:tr w:rsidR="007C617C" w:rsidTr="00794E64">
        <w:trPr>
          <w:cantSplit/>
        </w:trPr>
        <w:tc>
          <w:tcPr>
            <w:tcW w:w="3258" w:type="dxa"/>
            <w:tcBorders>
              <w:bottom w:val="double" w:sz="6" w:space="0" w:color="auto"/>
            </w:tcBorders>
          </w:tcPr>
          <w:p w:rsidR="007C617C" w:rsidRDefault="007C617C" w:rsidP="00651786">
            <w:pPr>
              <w:pStyle w:val="Header"/>
              <w:rPr>
                <w:b/>
                <w:sz w:val="20"/>
              </w:rPr>
            </w:pPr>
            <w:r>
              <w:rPr>
                <w:b/>
                <w:sz w:val="20"/>
              </w:rPr>
              <w:t xml:space="preserve">Calendar Year </w:t>
            </w:r>
            <w:r w:rsidR="00304474">
              <w:rPr>
                <w:b/>
                <w:sz w:val="20"/>
              </w:rPr>
              <w:t>201</w:t>
            </w:r>
            <w:r w:rsidR="008B468E">
              <w:rPr>
                <w:b/>
                <w:sz w:val="20"/>
              </w:rPr>
              <w:t>9</w:t>
            </w:r>
          </w:p>
        </w:tc>
        <w:tc>
          <w:tcPr>
            <w:tcW w:w="3366" w:type="dxa"/>
            <w:tcBorders>
              <w:bottom w:val="double" w:sz="6" w:space="0" w:color="auto"/>
            </w:tcBorders>
          </w:tcPr>
          <w:p w:rsidR="007C617C" w:rsidRDefault="00110009" w:rsidP="00A21E97">
            <w:pPr>
              <w:pStyle w:val="Header"/>
              <w:jc w:val="center"/>
              <w:rPr>
                <w:b/>
                <w:sz w:val="20"/>
              </w:rPr>
            </w:pPr>
            <w:r>
              <w:rPr>
                <w:b/>
                <w:sz w:val="20"/>
              </w:rPr>
              <w:t>March 2</w:t>
            </w:r>
            <w:r w:rsidR="00A21E97">
              <w:rPr>
                <w:b/>
                <w:sz w:val="20"/>
              </w:rPr>
              <w:t>9</w:t>
            </w:r>
            <w:r w:rsidR="000B399D">
              <w:rPr>
                <w:b/>
                <w:sz w:val="20"/>
              </w:rPr>
              <w:t>,</w:t>
            </w:r>
            <w:r w:rsidR="008B468E">
              <w:rPr>
                <w:b/>
                <w:sz w:val="20"/>
              </w:rPr>
              <w:t xml:space="preserve"> 2019</w:t>
            </w:r>
          </w:p>
        </w:tc>
        <w:tc>
          <w:tcPr>
            <w:tcW w:w="4176" w:type="dxa"/>
            <w:tcBorders>
              <w:bottom w:val="double" w:sz="6" w:space="0" w:color="auto"/>
            </w:tcBorders>
          </w:tcPr>
          <w:p w:rsidR="007C617C" w:rsidRDefault="007C617C" w:rsidP="004141C0">
            <w:pPr>
              <w:pStyle w:val="Header"/>
              <w:jc w:val="right"/>
              <w:rPr>
                <w:b/>
                <w:sz w:val="20"/>
              </w:rPr>
            </w:pPr>
            <w:r>
              <w:rPr>
                <w:b/>
                <w:sz w:val="20"/>
              </w:rPr>
              <w:t xml:space="preserve">Volume </w:t>
            </w:r>
            <w:r w:rsidR="00304474">
              <w:rPr>
                <w:b/>
                <w:sz w:val="20"/>
              </w:rPr>
              <w:t>201</w:t>
            </w:r>
            <w:r w:rsidR="008B468E">
              <w:rPr>
                <w:b/>
                <w:sz w:val="20"/>
              </w:rPr>
              <w:t>9</w:t>
            </w:r>
            <w:r w:rsidR="00304474">
              <w:rPr>
                <w:b/>
                <w:sz w:val="20"/>
              </w:rPr>
              <w:t>-</w:t>
            </w:r>
            <w:r w:rsidR="008B468E">
              <w:rPr>
                <w:b/>
                <w:sz w:val="20"/>
              </w:rPr>
              <w:t>0</w:t>
            </w:r>
            <w:r w:rsidR="004141C0">
              <w:rPr>
                <w:b/>
                <w:sz w:val="20"/>
              </w:rPr>
              <w:t>4</w:t>
            </w:r>
            <w:r>
              <w:rPr>
                <w:b/>
                <w:sz w:val="20"/>
              </w:rPr>
              <w:t xml:space="preserve"> </w:t>
            </w:r>
          </w:p>
        </w:tc>
      </w:tr>
    </w:tbl>
    <w:p w:rsidR="00ED0B4A" w:rsidRPr="00D467F1" w:rsidRDefault="00ED0B4A" w:rsidP="00ED0B4A">
      <w:pPr>
        <w:rPr>
          <w:sz w:val="16"/>
          <w:szCs w:val="16"/>
        </w:rPr>
      </w:pPr>
    </w:p>
    <w:tbl>
      <w:tblPr>
        <w:tblW w:w="11109" w:type="dxa"/>
        <w:jc w:val="center"/>
        <w:tblLook w:val="01E0" w:firstRow="1" w:lastRow="1" w:firstColumn="1" w:lastColumn="1" w:noHBand="0" w:noVBand="0"/>
      </w:tblPr>
      <w:tblGrid>
        <w:gridCol w:w="2414"/>
        <w:gridCol w:w="4522"/>
        <w:gridCol w:w="4173"/>
      </w:tblGrid>
      <w:tr w:rsidR="002775F4" w:rsidTr="00C70B9F">
        <w:trPr>
          <w:trHeight w:val="2595"/>
          <w:jc w:val="center"/>
        </w:trPr>
        <w:tc>
          <w:tcPr>
            <w:tcW w:w="2414" w:type="dxa"/>
          </w:tcPr>
          <w:p w:rsidR="002775F4" w:rsidRPr="00E6267E" w:rsidRDefault="002775F4" w:rsidP="00E6267E">
            <w:pPr>
              <w:tabs>
                <w:tab w:val="left" w:pos="990"/>
              </w:tabs>
              <w:spacing w:before="120"/>
              <w:rPr>
                <w:i/>
                <w:sz w:val="32"/>
                <w:szCs w:val="32"/>
              </w:rPr>
            </w:pPr>
            <w:r w:rsidRPr="00E6267E">
              <w:rPr>
                <w:i/>
                <w:sz w:val="32"/>
                <w:szCs w:val="32"/>
              </w:rPr>
              <w:t>In This Issue of the Payroll Bulletin…....</w:t>
            </w:r>
          </w:p>
          <w:p w:rsidR="002775F4" w:rsidRPr="00E6267E" w:rsidRDefault="002775F4" w:rsidP="00E6267E">
            <w:pPr>
              <w:spacing w:before="120"/>
              <w:rPr>
                <w:b/>
              </w:rPr>
            </w:pPr>
          </w:p>
        </w:tc>
        <w:tc>
          <w:tcPr>
            <w:tcW w:w="4522" w:type="dxa"/>
          </w:tcPr>
          <w:p w:rsidR="00F56C23" w:rsidRDefault="00110009" w:rsidP="00110009">
            <w:pPr>
              <w:numPr>
                <w:ilvl w:val="0"/>
                <w:numId w:val="1"/>
              </w:numPr>
              <w:tabs>
                <w:tab w:val="left" w:pos="990"/>
              </w:tabs>
              <w:spacing w:before="60"/>
              <w:ind w:left="547"/>
              <w:rPr>
                <w:b/>
              </w:rPr>
            </w:pPr>
            <w:r>
              <w:rPr>
                <w:b/>
              </w:rPr>
              <w:t>New Quarterly Certification Procedures and Forms</w:t>
            </w:r>
          </w:p>
          <w:p w:rsidR="00850F11" w:rsidRDefault="00850F11" w:rsidP="00110009">
            <w:pPr>
              <w:numPr>
                <w:ilvl w:val="0"/>
                <w:numId w:val="1"/>
              </w:numPr>
              <w:tabs>
                <w:tab w:val="left" w:pos="990"/>
              </w:tabs>
              <w:spacing w:before="60"/>
              <w:ind w:left="547"/>
              <w:rPr>
                <w:b/>
              </w:rPr>
            </w:pPr>
            <w:r>
              <w:rPr>
                <w:b/>
              </w:rPr>
              <w:t>New Special Pay Code For Student Wages</w:t>
            </w:r>
          </w:p>
          <w:p w:rsidR="004141C0" w:rsidRDefault="004141C0" w:rsidP="004141C0">
            <w:pPr>
              <w:tabs>
                <w:tab w:val="left" w:pos="990"/>
              </w:tabs>
              <w:spacing w:before="60"/>
              <w:ind w:left="1253"/>
              <w:rPr>
                <w:b/>
              </w:rPr>
            </w:pPr>
          </w:p>
          <w:p w:rsidR="00821AC9" w:rsidRPr="00172018" w:rsidRDefault="00821AC9" w:rsidP="00821AC9">
            <w:pPr>
              <w:tabs>
                <w:tab w:val="left" w:pos="990"/>
              </w:tabs>
              <w:spacing w:before="60"/>
              <w:ind w:left="1260"/>
              <w:rPr>
                <w:b/>
              </w:rPr>
            </w:pPr>
          </w:p>
        </w:tc>
        <w:tc>
          <w:tcPr>
            <w:tcW w:w="4173" w:type="dxa"/>
          </w:tcPr>
          <w:p w:rsidR="002775F4" w:rsidRPr="00E6267E" w:rsidRDefault="002775F4" w:rsidP="00E6267E">
            <w:pPr>
              <w:tabs>
                <w:tab w:val="left" w:pos="990"/>
              </w:tabs>
              <w:spacing w:before="120"/>
              <w:rPr>
                <w:sz w:val="20"/>
              </w:rPr>
            </w:pPr>
            <w:r w:rsidRPr="00E6267E">
              <w:rPr>
                <w:sz w:val="20"/>
              </w:rPr>
              <w:t xml:space="preserve">The Payroll Bulletin </w:t>
            </w:r>
            <w:proofErr w:type="gramStart"/>
            <w:r w:rsidRPr="00E6267E">
              <w:rPr>
                <w:sz w:val="20"/>
              </w:rPr>
              <w:t>is published</w:t>
            </w:r>
            <w:proofErr w:type="gramEnd"/>
            <w:r w:rsidRPr="00E6267E">
              <w:rPr>
                <w:sz w:val="20"/>
              </w:rPr>
              <w:t xml:space="preserve"> periodically to provide CIPPS agencies guidance regarding Commonwealth payroll operations.  If you have any questions about the bulletin, please call Cathy McGill at (804) </w:t>
            </w:r>
            <w:r w:rsidR="003655B0">
              <w:rPr>
                <w:sz w:val="20"/>
              </w:rPr>
              <w:t>225</w:t>
            </w:r>
            <w:r w:rsidRPr="00E6267E">
              <w:rPr>
                <w:sz w:val="20"/>
              </w:rPr>
              <w:t>-</w:t>
            </w:r>
            <w:r w:rsidR="003655B0">
              <w:rPr>
                <w:sz w:val="20"/>
              </w:rPr>
              <w:t>2245</w:t>
            </w:r>
            <w:r w:rsidRPr="00E6267E">
              <w:rPr>
                <w:sz w:val="20"/>
              </w:rPr>
              <w:t xml:space="preserve"> or Email at </w:t>
            </w:r>
            <w:hyperlink r:id="rId9" w:history="1">
              <w:r w:rsidRPr="00E6267E">
                <w:rPr>
                  <w:rStyle w:val="Hyperlink"/>
                  <w:sz w:val="20"/>
                </w:rPr>
                <w:t>cathy.mcgill@doa.virginia.gov</w:t>
              </w:r>
            </w:hyperlink>
          </w:p>
          <w:p w:rsidR="002775F4" w:rsidRPr="00E6267E" w:rsidRDefault="002775F4" w:rsidP="00E6267E">
            <w:pPr>
              <w:tabs>
                <w:tab w:val="left" w:pos="990"/>
              </w:tabs>
              <w:spacing w:before="120"/>
              <w:jc w:val="both"/>
              <w:rPr>
                <w:sz w:val="20"/>
                <w:u w:val="single"/>
              </w:rPr>
            </w:pPr>
            <w:r w:rsidRPr="00E6267E">
              <w:rPr>
                <w:sz w:val="20"/>
                <w:u w:val="single"/>
              </w:rPr>
              <w:t>State Payroll Operations</w:t>
            </w:r>
          </w:p>
          <w:p w:rsidR="002775F4" w:rsidRDefault="002775F4" w:rsidP="00E6267E">
            <w:pPr>
              <w:tabs>
                <w:tab w:val="left" w:pos="990"/>
              </w:tabs>
              <w:spacing w:before="120"/>
              <w:rPr>
                <w:b/>
                <w:sz w:val="20"/>
              </w:rPr>
            </w:pPr>
            <w:r w:rsidRPr="00E6267E">
              <w:rPr>
                <w:b/>
                <w:sz w:val="20"/>
              </w:rPr>
              <w:t xml:space="preserve">Director                         </w:t>
            </w:r>
            <w:r w:rsidR="00D23198">
              <w:rPr>
                <w:b/>
                <w:sz w:val="20"/>
              </w:rPr>
              <w:t>Cathy C. McGill</w:t>
            </w:r>
          </w:p>
          <w:p w:rsidR="00535941" w:rsidRPr="00535941" w:rsidRDefault="00535941" w:rsidP="00E6267E">
            <w:pPr>
              <w:tabs>
                <w:tab w:val="left" w:pos="990"/>
              </w:tabs>
              <w:spacing w:before="120"/>
              <w:rPr>
                <w:sz w:val="20"/>
              </w:rPr>
            </w:pPr>
            <w:r>
              <w:rPr>
                <w:sz w:val="20"/>
              </w:rPr>
              <w:t>Assistant Director          Carmelita Holmes</w:t>
            </w:r>
          </w:p>
          <w:p w:rsidR="002775F4" w:rsidRPr="00E6267E" w:rsidRDefault="002775F4" w:rsidP="00E6267E">
            <w:pPr>
              <w:tabs>
                <w:tab w:val="left" w:pos="990"/>
              </w:tabs>
              <w:spacing w:before="120"/>
              <w:rPr>
                <w:szCs w:val="24"/>
              </w:rPr>
            </w:pPr>
          </w:p>
        </w:tc>
      </w:tr>
    </w:tbl>
    <w:p w:rsidR="00E1485E" w:rsidRDefault="00E1485E" w:rsidP="00E1485E">
      <w:pPr>
        <w:pStyle w:val="BlockLine"/>
        <w:spacing w:before="0"/>
        <w:ind w:left="1354"/>
        <w:rPr>
          <w:sz w:val="16"/>
          <w:szCs w:val="16"/>
        </w:rPr>
      </w:pPr>
    </w:p>
    <w:p w:rsidR="00167683" w:rsidRDefault="00110009" w:rsidP="00167683">
      <w:pPr>
        <w:pStyle w:val="NormalWeb"/>
        <w:rPr>
          <w:b/>
          <w:bCs/>
          <w:color w:val="000000"/>
          <w:sz w:val="28"/>
          <w:szCs w:val="28"/>
        </w:rPr>
      </w:pPr>
      <w:r>
        <w:rPr>
          <w:b/>
          <w:bCs/>
          <w:color w:val="000000"/>
          <w:sz w:val="28"/>
          <w:szCs w:val="28"/>
        </w:rPr>
        <w:t>New Quarterly Certification Procedures and Forms</w:t>
      </w:r>
    </w:p>
    <w:p w:rsidR="00167683" w:rsidRDefault="00167683" w:rsidP="00167683">
      <w:pPr>
        <w:pStyle w:val="BlockLine"/>
        <w:ind w:left="1350"/>
        <w:rPr>
          <w:sz w:val="16"/>
          <w:szCs w:val="16"/>
        </w:rPr>
      </w:pPr>
    </w:p>
    <w:tbl>
      <w:tblPr>
        <w:tblW w:w="10188" w:type="dxa"/>
        <w:tblLayout w:type="fixed"/>
        <w:tblLook w:val="0000" w:firstRow="0" w:lastRow="0" w:firstColumn="0" w:lastColumn="0" w:noHBand="0" w:noVBand="0"/>
      </w:tblPr>
      <w:tblGrid>
        <w:gridCol w:w="1458"/>
        <w:gridCol w:w="8730"/>
      </w:tblGrid>
      <w:tr w:rsidR="00167683" w:rsidTr="00471E1E">
        <w:trPr>
          <w:cantSplit/>
        </w:trPr>
        <w:tc>
          <w:tcPr>
            <w:tcW w:w="1458" w:type="dxa"/>
          </w:tcPr>
          <w:p w:rsidR="00167683" w:rsidRDefault="00110009" w:rsidP="00471E1E">
            <w:pPr>
              <w:pStyle w:val="Heading5"/>
            </w:pPr>
            <w:r>
              <w:t>Overview</w:t>
            </w:r>
          </w:p>
        </w:tc>
        <w:tc>
          <w:tcPr>
            <w:tcW w:w="8730" w:type="dxa"/>
          </w:tcPr>
          <w:p w:rsidR="0006038A" w:rsidRDefault="004630CE" w:rsidP="00614F81">
            <w:pPr>
              <w:pStyle w:val="BlockText"/>
              <w:tabs>
                <w:tab w:val="left" w:pos="4554"/>
              </w:tabs>
              <w:ind w:left="162"/>
            </w:pPr>
            <w:r>
              <w:t>The quarterly reconciliation and certification requirements are changing e</w:t>
            </w:r>
            <w:r w:rsidR="00110009">
              <w:t>ffective with the first quarter of 2019</w:t>
            </w:r>
            <w:r>
              <w:t>.</w:t>
            </w:r>
            <w:r w:rsidR="00614F81">
              <w:t xml:space="preserve">  The</w:t>
            </w:r>
            <w:r w:rsidR="00110009">
              <w:t xml:space="preserve"> changes </w:t>
            </w:r>
            <w:r w:rsidR="00614F81">
              <w:t xml:space="preserve">will help </w:t>
            </w:r>
            <w:r w:rsidR="00110009">
              <w:t>guide agencies through standard audit expectations and provide a more conclusive certification to State Payroll Operations</w:t>
            </w:r>
            <w:r w:rsidR="0000664C">
              <w:t>, thus strengthening internal controls.</w:t>
            </w:r>
          </w:p>
          <w:p w:rsidR="003F3BF5" w:rsidRDefault="003F3BF5" w:rsidP="00614F81">
            <w:pPr>
              <w:pStyle w:val="BlockText"/>
              <w:tabs>
                <w:tab w:val="left" w:pos="4554"/>
              </w:tabs>
              <w:ind w:left="162"/>
            </w:pPr>
          </w:p>
          <w:p w:rsidR="0006038A" w:rsidRDefault="0006038A" w:rsidP="00614F81">
            <w:pPr>
              <w:pStyle w:val="BlockText"/>
              <w:tabs>
                <w:tab w:val="left" w:pos="4554"/>
              </w:tabs>
              <w:ind w:left="162"/>
            </w:pPr>
            <w:r>
              <w:t xml:space="preserve">The new requirements use reports that are already in place and </w:t>
            </w:r>
            <w:r w:rsidR="006D72A2">
              <w:t>include a new</w:t>
            </w:r>
            <w:r>
              <w:t xml:space="preserve"> certification spreadsheet to provide agencies with a quick</w:t>
            </w:r>
            <w:r w:rsidR="0000664C">
              <w:t>,</w:t>
            </w:r>
            <w:r>
              <w:t xml:space="preserve"> easy way to identify </w:t>
            </w:r>
            <w:r w:rsidR="003F3BF5">
              <w:t>problem areas.</w:t>
            </w:r>
            <w:r>
              <w:t xml:space="preserve">  </w:t>
            </w:r>
          </w:p>
          <w:p w:rsidR="0006038A" w:rsidRDefault="0006038A" w:rsidP="00614F81">
            <w:pPr>
              <w:pStyle w:val="BlockText"/>
              <w:tabs>
                <w:tab w:val="left" w:pos="4554"/>
              </w:tabs>
              <w:ind w:left="162"/>
            </w:pPr>
          </w:p>
          <w:p w:rsidR="0006038A" w:rsidRDefault="0006038A" w:rsidP="00614F81">
            <w:pPr>
              <w:pStyle w:val="BlockText"/>
              <w:tabs>
                <w:tab w:val="left" w:pos="4554"/>
              </w:tabs>
              <w:ind w:left="162"/>
            </w:pPr>
            <w:r>
              <w:t>The deadline for the first quarter certification is April 11, 2019.  Line agencies should review the attach</w:t>
            </w:r>
            <w:r w:rsidR="0000664C">
              <w:t>ed</w:t>
            </w:r>
            <w:r>
              <w:t xml:space="preserve"> document as soon as possible to make sure they have everything needed to meet that deadline including the required access to the PAT (Payroll Audit Tool) Quarterly Control Totals.</w:t>
            </w:r>
          </w:p>
          <w:p w:rsidR="003F3BF5" w:rsidRDefault="003F3BF5" w:rsidP="00614F81">
            <w:pPr>
              <w:pStyle w:val="BlockText"/>
              <w:tabs>
                <w:tab w:val="left" w:pos="4554"/>
              </w:tabs>
              <w:ind w:left="162"/>
            </w:pPr>
          </w:p>
          <w:p w:rsidR="003F3BF5" w:rsidRDefault="003F3BF5" w:rsidP="00614F81">
            <w:pPr>
              <w:pStyle w:val="BlockText"/>
              <w:tabs>
                <w:tab w:val="left" w:pos="4554"/>
              </w:tabs>
              <w:ind w:left="162"/>
            </w:pPr>
            <w:r>
              <w:t xml:space="preserve">Please email </w:t>
            </w:r>
            <w:hyperlink r:id="rId10" w:history="1">
              <w:r w:rsidRPr="00481380">
                <w:rPr>
                  <w:rStyle w:val="Hyperlink"/>
                </w:rPr>
                <w:t>payroll@doa.virginia.gov</w:t>
              </w:r>
            </w:hyperlink>
            <w:r>
              <w:t xml:space="preserve"> with any questions you may have.</w:t>
            </w:r>
          </w:p>
        </w:tc>
      </w:tr>
    </w:tbl>
    <w:p w:rsidR="007853A4" w:rsidRDefault="007853A4" w:rsidP="007853A4">
      <w:pPr>
        <w:pStyle w:val="BlockLine"/>
        <w:ind w:left="1620"/>
        <w:rPr>
          <w:sz w:val="16"/>
          <w:szCs w:val="16"/>
        </w:rPr>
      </w:pPr>
    </w:p>
    <w:tbl>
      <w:tblPr>
        <w:tblW w:w="10367" w:type="dxa"/>
        <w:tblLayout w:type="fixed"/>
        <w:tblLook w:val="0000" w:firstRow="0" w:lastRow="0" w:firstColumn="0" w:lastColumn="0" w:noHBand="0" w:noVBand="0"/>
      </w:tblPr>
      <w:tblGrid>
        <w:gridCol w:w="1483"/>
        <w:gridCol w:w="8884"/>
      </w:tblGrid>
      <w:tr w:rsidR="001F4FF1" w:rsidTr="00351AED">
        <w:trPr>
          <w:cantSplit/>
          <w:trHeight w:val="3222"/>
        </w:trPr>
        <w:tc>
          <w:tcPr>
            <w:tcW w:w="1483" w:type="dxa"/>
          </w:tcPr>
          <w:p w:rsidR="001F4FF1" w:rsidRDefault="00A32290" w:rsidP="006E029D">
            <w:pPr>
              <w:pStyle w:val="Heading5"/>
            </w:pPr>
            <w:r>
              <w:t xml:space="preserve">PAT </w:t>
            </w:r>
            <w:r w:rsidR="00351AED">
              <w:t xml:space="preserve">Report 33 </w:t>
            </w:r>
            <w:r>
              <w:t>Quarterly Control Totals Required</w:t>
            </w:r>
          </w:p>
        </w:tc>
        <w:tc>
          <w:tcPr>
            <w:tcW w:w="8884" w:type="dxa"/>
          </w:tcPr>
          <w:p w:rsidR="001F4FF1" w:rsidRDefault="006D72A2" w:rsidP="006E029D">
            <w:pPr>
              <w:pStyle w:val="BlockText"/>
              <w:tabs>
                <w:tab w:val="left" w:pos="4554"/>
              </w:tabs>
              <w:ind w:left="162"/>
            </w:pPr>
            <w:r>
              <w:t>L</w:t>
            </w:r>
            <w:r w:rsidR="0051325D">
              <w:t xml:space="preserve">ine agencies </w:t>
            </w:r>
            <w:r>
              <w:t xml:space="preserve">are now required </w:t>
            </w:r>
            <w:r w:rsidR="0051325D">
              <w:t>to</w:t>
            </w:r>
            <w:r w:rsidR="00E21BE8">
              <w:t xml:space="preserve"> use the </w:t>
            </w:r>
            <w:r w:rsidR="0051325D">
              <w:t xml:space="preserve">Report 33 - </w:t>
            </w:r>
            <w:r w:rsidR="00E21BE8">
              <w:t>Quarterly Control Totals found in PAT (Payroll Audit Tool)</w:t>
            </w:r>
            <w:r w:rsidR="00B06F49">
              <w:t xml:space="preserve"> as part of the reconciliation process</w:t>
            </w:r>
            <w:r w:rsidR="00E21BE8">
              <w:t xml:space="preserve">.  </w:t>
            </w:r>
          </w:p>
          <w:p w:rsidR="00E21BE8" w:rsidRDefault="00E21BE8" w:rsidP="006E029D">
            <w:pPr>
              <w:pStyle w:val="BlockText"/>
              <w:tabs>
                <w:tab w:val="left" w:pos="4554"/>
              </w:tabs>
              <w:ind w:left="162"/>
            </w:pPr>
          </w:p>
          <w:p w:rsidR="009F75A0" w:rsidRDefault="005D52E9" w:rsidP="006E029D">
            <w:pPr>
              <w:pStyle w:val="BlockText"/>
              <w:tabs>
                <w:tab w:val="left" w:pos="4554"/>
              </w:tabs>
              <w:ind w:left="162"/>
            </w:pPr>
            <w:r>
              <w:t>C</w:t>
            </w:r>
            <w:r w:rsidR="00E21BE8">
              <w:t>ertain items</w:t>
            </w:r>
            <w:r>
              <w:t xml:space="preserve"> do not appear on the Report 33 and </w:t>
            </w:r>
            <w:proofErr w:type="gramStart"/>
            <w:r>
              <w:t>must be added</w:t>
            </w:r>
            <w:proofErr w:type="gramEnd"/>
            <w:r>
              <w:t xml:space="preserve"> to the Quarterly Control Totals</w:t>
            </w:r>
            <w:r w:rsidR="009F75A0">
              <w:t xml:space="preserve"> as an adjustment</w:t>
            </w:r>
            <w:r>
              <w:t xml:space="preserve">.  </w:t>
            </w:r>
            <w:r w:rsidR="009F75A0">
              <w:t xml:space="preserve">(I.E., </w:t>
            </w:r>
            <w:r w:rsidR="00B06F49">
              <w:t>d</w:t>
            </w:r>
            <w:r w:rsidR="009F75A0">
              <w:t xml:space="preserve">eleted </w:t>
            </w:r>
            <w:proofErr w:type="spellStart"/>
            <w:r w:rsidR="009F75A0">
              <w:t>paysets</w:t>
            </w:r>
            <w:proofErr w:type="spellEnd"/>
            <w:r w:rsidR="009F75A0">
              <w:t>, adjustments sent to SPO).</w:t>
            </w:r>
          </w:p>
          <w:p w:rsidR="009F75A0" w:rsidRDefault="009F75A0" w:rsidP="006E029D">
            <w:pPr>
              <w:pStyle w:val="BlockText"/>
              <w:tabs>
                <w:tab w:val="left" w:pos="4554"/>
              </w:tabs>
              <w:ind w:left="162"/>
            </w:pPr>
          </w:p>
          <w:p w:rsidR="009F75A0" w:rsidRDefault="00F46B4C" w:rsidP="009F75A0">
            <w:pPr>
              <w:pStyle w:val="BlockText"/>
              <w:tabs>
                <w:tab w:val="left" w:pos="4554"/>
              </w:tabs>
              <w:ind w:left="162"/>
            </w:pPr>
            <w:r>
              <w:t>Line agencies</w:t>
            </w:r>
            <w:r w:rsidR="00E21BE8">
              <w:t xml:space="preserve"> </w:t>
            </w:r>
            <w:r>
              <w:t xml:space="preserve">must add the required adjustments </w:t>
            </w:r>
            <w:r w:rsidR="00E21BE8">
              <w:t xml:space="preserve">to the Quarterly Control Totals </w:t>
            </w:r>
            <w:r w:rsidR="0051325D">
              <w:t xml:space="preserve">in PAT </w:t>
            </w:r>
            <w:r w:rsidR="00E21BE8">
              <w:t xml:space="preserve">to </w:t>
            </w:r>
            <w:r w:rsidR="0051325D">
              <w:t>balance</w:t>
            </w:r>
            <w:r w:rsidR="00E21BE8">
              <w:t xml:space="preserve"> with the Report </w:t>
            </w:r>
            <w:r w:rsidR="0051325D">
              <w:t>56 and the U092 by the posted deadline</w:t>
            </w:r>
            <w:r w:rsidR="00E21BE8">
              <w:t>.</w:t>
            </w:r>
            <w:r w:rsidR="009F75A0">
              <w:t xml:space="preserve">  </w:t>
            </w:r>
          </w:p>
          <w:p w:rsidR="009B5183" w:rsidRDefault="009B5183" w:rsidP="009F75A0">
            <w:pPr>
              <w:pStyle w:val="BlockText"/>
              <w:tabs>
                <w:tab w:val="left" w:pos="4554"/>
              </w:tabs>
              <w:ind w:left="162"/>
            </w:pPr>
          </w:p>
          <w:p w:rsidR="00351AED" w:rsidRPr="0051325D" w:rsidRDefault="009F75A0" w:rsidP="009B5183">
            <w:pPr>
              <w:pStyle w:val="BlockText"/>
              <w:tabs>
                <w:tab w:val="left" w:pos="4554"/>
              </w:tabs>
              <w:ind w:left="162"/>
            </w:pPr>
            <w:r>
              <w:t>Only users with PAT Security Levels 2 or 5 can add, edit or delete adjustments.  Please ensure the required employees have adequate access to complete this requirement.</w:t>
            </w:r>
            <w:r w:rsidR="006D72A2">
              <w:t xml:space="preserve"> </w:t>
            </w:r>
            <w:r w:rsidR="009B5183">
              <w:t>(NOTE: The Payroll Service Bureau adds required adjustments for their agencies).</w:t>
            </w:r>
          </w:p>
        </w:tc>
      </w:tr>
    </w:tbl>
    <w:p w:rsidR="001F4FF1" w:rsidRDefault="001F4FF1" w:rsidP="001F4FF1">
      <w:pPr>
        <w:pStyle w:val="BlockLine"/>
        <w:ind w:left="1620"/>
      </w:pPr>
    </w:p>
    <w:p w:rsidR="00C04138" w:rsidRPr="00BE032C" w:rsidRDefault="00C04138" w:rsidP="00C04138">
      <w:pPr>
        <w:pStyle w:val="NormalWeb"/>
        <w:rPr>
          <w:bCs/>
          <w:color w:val="000000"/>
          <w:sz w:val="28"/>
          <w:szCs w:val="28"/>
        </w:rPr>
      </w:pPr>
      <w:r>
        <w:rPr>
          <w:b/>
          <w:bCs/>
          <w:color w:val="000000"/>
          <w:sz w:val="28"/>
          <w:szCs w:val="28"/>
        </w:rPr>
        <w:lastRenderedPageBreak/>
        <w:t>New Quarterly Certification Procedures and Forms</w:t>
      </w:r>
      <w:r w:rsidR="00BE032C">
        <w:rPr>
          <w:b/>
          <w:bCs/>
          <w:color w:val="000000"/>
          <w:sz w:val="28"/>
          <w:szCs w:val="28"/>
        </w:rPr>
        <w:t xml:space="preserve">, </w:t>
      </w:r>
      <w:r w:rsidR="00BE032C">
        <w:rPr>
          <w:bCs/>
          <w:color w:val="000000"/>
          <w:sz w:val="28"/>
          <w:szCs w:val="28"/>
        </w:rPr>
        <w:t>continued</w:t>
      </w:r>
    </w:p>
    <w:p w:rsidR="00C04138" w:rsidRDefault="00C04138" w:rsidP="00C04138">
      <w:pPr>
        <w:pStyle w:val="BlockLine"/>
        <w:ind w:left="1350"/>
        <w:rPr>
          <w:sz w:val="16"/>
          <w:szCs w:val="16"/>
        </w:rPr>
      </w:pPr>
    </w:p>
    <w:tbl>
      <w:tblPr>
        <w:tblW w:w="10188" w:type="dxa"/>
        <w:tblLayout w:type="fixed"/>
        <w:tblLook w:val="0000" w:firstRow="0" w:lastRow="0" w:firstColumn="0" w:lastColumn="0" w:noHBand="0" w:noVBand="0"/>
      </w:tblPr>
      <w:tblGrid>
        <w:gridCol w:w="1458"/>
        <w:gridCol w:w="8730"/>
      </w:tblGrid>
      <w:tr w:rsidR="00C04138" w:rsidTr="00BF28D8">
        <w:trPr>
          <w:cantSplit/>
        </w:trPr>
        <w:tc>
          <w:tcPr>
            <w:tcW w:w="1458" w:type="dxa"/>
          </w:tcPr>
          <w:p w:rsidR="00C04138" w:rsidRDefault="00BE032C" w:rsidP="00BF28D8">
            <w:pPr>
              <w:pStyle w:val="Heading5"/>
            </w:pPr>
            <w:r>
              <w:t>Line Agencies Required to Use U092/U093 Reports</w:t>
            </w:r>
          </w:p>
        </w:tc>
        <w:tc>
          <w:tcPr>
            <w:tcW w:w="8730" w:type="dxa"/>
          </w:tcPr>
          <w:p w:rsidR="001E2B98" w:rsidRDefault="00BE032C" w:rsidP="001E2B98">
            <w:pPr>
              <w:pStyle w:val="BlockText"/>
              <w:tabs>
                <w:tab w:val="left" w:pos="4554"/>
              </w:tabs>
              <w:ind w:left="162"/>
            </w:pPr>
            <w:r>
              <w:t>In the past</w:t>
            </w:r>
            <w:r w:rsidR="00CC25D5">
              <w:t>,</w:t>
            </w:r>
            <w:r>
              <w:t xml:space="preserve"> </w:t>
            </w:r>
            <w:r w:rsidR="00715633">
              <w:t xml:space="preserve">agencies </w:t>
            </w:r>
            <w:proofErr w:type="gramStart"/>
            <w:r w:rsidR="00715633">
              <w:t>were permitted</w:t>
            </w:r>
            <w:proofErr w:type="gramEnd"/>
            <w:r w:rsidR="00715633">
              <w:t xml:space="preserve"> to use agency-unique methods </w:t>
            </w:r>
            <w:r w:rsidR="001E2B98">
              <w:t>for</w:t>
            </w:r>
            <w:r>
              <w:t xml:space="preserve"> reconcil</w:t>
            </w:r>
            <w:r w:rsidR="00CC25D5">
              <w:t>ing</w:t>
            </w:r>
            <w:r>
              <w:t xml:space="preserve"> the </w:t>
            </w:r>
            <w:r w:rsidR="00CC25D5">
              <w:t>Report 10 YTD to</w:t>
            </w:r>
            <w:r>
              <w:t xml:space="preserve"> taxable accumulators.</w:t>
            </w:r>
            <w:r w:rsidR="00CC25D5">
              <w:t xml:space="preserve">   Beginning with 1</w:t>
            </w:r>
            <w:r w:rsidR="00CC25D5" w:rsidRPr="00CC25D5">
              <w:rPr>
                <w:vertAlign w:val="superscript"/>
              </w:rPr>
              <w:t>st</w:t>
            </w:r>
            <w:r w:rsidR="00CC25D5">
              <w:t xml:space="preserve"> Quarter 2019, </w:t>
            </w:r>
            <w:r w:rsidR="00715633">
              <w:t xml:space="preserve">the process </w:t>
            </w:r>
            <w:proofErr w:type="gramStart"/>
            <w:r w:rsidR="00715633">
              <w:t>will be standardized</w:t>
            </w:r>
            <w:proofErr w:type="gramEnd"/>
            <w:r w:rsidR="00715633">
              <w:t xml:space="preserve"> and </w:t>
            </w:r>
            <w:r w:rsidR="001E2B98">
              <w:t>line</w:t>
            </w:r>
            <w:r w:rsidR="00CC25D5">
              <w:t xml:space="preserve"> agencies </w:t>
            </w:r>
            <w:r w:rsidR="001E2B98">
              <w:t xml:space="preserve">are required </w:t>
            </w:r>
            <w:r w:rsidR="00CC25D5">
              <w:t>to use the provided U092/U093</w:t>
            </w:r>
            <w:r w:rsidR="00952CBB">
              <w:t xml:space="preserve">, </w:t>
            </w:r>
            <w:r w:rsidR="00CC25D5">
              <w:t>CIPPS Year-To-Date 10/</w:t>
            </w:r>
            <w:r w:rsidR="00715633">
              <w:t>33</w:t>
            </w:r>
            <w:r w:rsidR="00CC25D5">
              <w:t xml:space="preserve"> Reconciliation </w:t>
            </w:r>
            <w:r w:rsidR="00952CBB">
              <w:t>r</w:t>
            </w:r>
            <w:r w:rsidR="00CC25D5">
              <w:t xml:space="preserve">eports. </w:t>
            </w:r>
          </w:p>
          <w:p w:rsidR="001E2B98" w:rsidRDefault="001E2B98" w:rsidP="001E2B98">
            <w:pPr>
              <w:pStyle w:val="BlockText"/>
              <w:tabs>
                <w:tab w:val="left" w:pos="4554"/>
              </w:tabs>
              <w:ind w:left="162"/>
            </w:pPr>
          </w:p>
          <w:p w:rsidR="001F572D" w:rsidRDefault="001F572D" w:rsidP="001E2B98">
            <w:pPr>
              <w:pStyle w:val="BlockText"/>
              <w:tabs>
                <w:tab w:val="left" w:pos="4554"/>
              </w:tabs>
              <w:ind w:left="162"/>
            </w:pPr>
            <w:r>
              <w:t>T</w:t>
            </w:r>
            <w:r w:rsidR="001E2B98">
              <w:t xml:space="preserve">hese reports </w:t>
            </w:r>
            <w:r>
              <w:t xml:space="preserve">run </w:t>
            </w:r>
            <w:r w:rsidR="001E2B98">
              <w:t>monthly, and agencies are expected to clear up invalid exceptions as they are revealed rather than waiting for the end of a quarter or a year</w:t>
            </w:r>
            <w:r w:rsidR="009E1AEA">
              <w:t xml:space="preserve"> end</w:t>
            </w:r>
            <w:r w:rsidR="001E2B98">
              <w:t xml:space="preserve">.  </w:t>
            </w:r>
          </w:p>
          <w:p w:rsidR="001F572D" w:rsidRDefault="001F572D" w:rsidP="001E2B98">
            <w:pPr>
              <w:pStyle w:val="BlockText"/>
              <w:tabs>
                <w:tab w:val="left" w:pos="4554"/>
              </w:tabs>
              <w:ind w:left="162"/>
            </w:pPr>
          </w:p>
          <w:p w:rsidR="001E2B98" w:rsidRDefault="00EA1231" w:rsidP="001E2B98">
            <w:pPr>
              <w:pStyle w:val="BlockText"/>
              <w:tabs>
                <w:tab w:val="left" w:pos="4554"/>
              </w:tabs>
              <w:ind w:left="162"/>
            </w:pPr>
            <w:r>
              <w:t>K</w:t>
            </w:r>
            <w:r w:rsidR="001F572D">
              <w:t xml:space="preserve">eep in mind that </w:t>
            </w:r>
            <w:r>
              <w:t>U093 exceptions</w:t>
            </w:r>
            <w:r w:rsidR="001F572D">
              <w:t xml:space="preserve"> </w:t>
            </w:r>
            <w:r w:rsidR="009E1AEA">
              <w:t>may</w:t>
            </w:r>
            <w:r w:rsidR="001F572D">
              <w:t xml:space="preserve"> print for </w:t>
            </w:r>
            <w:r w:rsidR="00642F2A">
              <w:t>informational</w:t>
            </w:r>
            <w:r w:rsidR="001F572D">
              <w:t xml:space="preserve"> </w:t>
            </w:r>
            <w:r w:rsidR="00642F2A">
              <w:t>purposes</w:t>
            </w:r>
            <w:r w:rsidR="001F572D">
              <w:t xml:space="preserve"> and require no</w:t>
            </w:r>
            <w:r>
              <w:t xml:space="preserve"> further</w:t>
            </w:r>
            <w:r w:rsidR="001F572D">
              <w:t xml:space="preserve"> correction.  </w:t>
            </w:r>
            <w:r w:rsidR="009E1AEA">
              <w:t xml:space="preserve">Agencies must review the U093 to determine if a correction is required.  </w:t>
            </w:r>
            <w:r w:rsidR="00642F2A">
              <w:t>Some of the informational exceptions include:</w:t>
            </w:r>
          </w:p>
          <w:p w:rsidR="001F572D" w:rsidRDefault="001F572D" w:rsidP="001E2B98">
            <w:pPr>
              <w:pStyle w:val="BlockText"/>
              <w:tabs>
                <w:tab w:val="left" w:pos="4554"/>
              </w:tabs>
              <w:ind w:left="162"/>
            </w:pPr>
          </w:p>
          <w:p w:rsidR="001F572D" w:rsidRDefault="001F572D" w:rsidP="001F572D">
            <w:pPr>
              <w:pStyle w:val="BlockText"/>
              <w:numPr>
                <w:ilvl w:val="0"/>
                <w:numId w:val="13"/>
              </w:numPr>
              <w:tabs>
                <w:tab w:val="left" w:pos="4554"/>
              </w:tabs>
            </w:pPr>
            <w:r>
              <w:t>Employees with SUI Status “1”</w:t>
            </w:r>
            <w:r w:rsidR="00642F2A">
              <w:t>.</w:t>
            </w:r>
            <w:r>
              <w:t xml:space="preserve"> The exception prints so that </w:t>
            </w:r>
            <w:r w:rsidR="00642F2A">
              <w:t>you can verify correctness.  This</w:t>
            </w:r>
            <w:r>
              <w:t xml:space="preserve"> condition is </w:t>
            </w:r>
            <w:r w:rsidR="000B7588">
              <w:t>valid for a political appointee.</w:t>
            </w:r>
          </w:p>
          <w:p w:rsidR="001F572D" w:rsidRDefault="001F572D" w:rsidP="001F572D">
            <w:pPr>
              <w:pStyle w:val="BlockText"/>
              <w:numPr>
                <w:ilvl w:val="0"/>
                <w:numId w:val="13"/>
              </w:numPr>
              <w:tabs>
                <w:tab w:val="left" w:pos="4554"/>
              </w:tabs>
            </w:pPr>
            <w:r>
              <w:t>Employees with multiple tax records</w:t>
            </w:r>
            <w:r w:rsidR="00642F2A">
              <w:t>.</w:t>
            </w:r>
            <w:r>
              <w:t xml:space="preserve"> These exceptions are valid for out of state taxes.  Review for correctness.</w:t>
            </w:r>
          </w:p>
          <w:p w:rsidR="00904DE5" w:rsidRDefault="001F572D" w:rsidP="00904DE5">
            <w:pPr>
              <w:pStyle w:val="BlockText"/>
              <w:numPr>
                <w:ilvl w:val="0"/>
                <w:numId w:val="13"/>
              </w:numPr>
              <w:tabs>
                <w:tab w:val="left" w:pos="4554"/>
              </w:tabs>
            </w:pPr>
            <w:r>
              <w:t>Taxable differences that occur because the employee paid non-taxable deductions (premium conversion, deferred comp) from non-taxable earnings (workers’</w:t>
            </w:r>
            <w:r w:rsidR="00904DE5">
              <w:t xml:space="preserve"> comp and deceased pay)</w:t>
            </w:r>
            <w:r w:rsidR="00952CBB">
              <w:t xml:space="preserve">.  This </w:t>
            </w:r>
            <w:r w:rsidR="00904DE5">
              <w:t>create</w:t>
            </w:r>
            <w:r w:rsidR="00952CBB">
              <w:t>s</w:t>
            </w:r>
            <w:r w:rsidR="00904DE5">
              <w:t xml:space="preserve"> a valid exception and does not need a correction.  </w:t>
            </w:r>
            <w:r w:rsidR="00B0640B">
              <w:t>T</w:t>
            </w:r>
            <w:r w:rsidR="00904DE5">
              <w:t xml:space="preserve">axable pay </w:t>
            </w:r>
            <w:proofErr w:type="gramStart"/>
            <w:r w:rsidR="00B0640B">
              <w:t>is computed</w:t>
            </w:r>
            <w:proofErr w:type="gramEnd"/>
            <w:r w:rsidR="00B0640B">
              <w:t xml:space="preserve"> </w:t>
            </w:r>
            <w:r w:rsidR="00642F2A">
              <w:t xml:space="preserve">on a pay period basis.  However, the Report U092 and U093 </w:t>
            </w:r>
            <w:r w:rsidR="00904DE5">
              <w:t xml:space="preserve">use the YTD accumulations to highlight items that deserve attention. </w:t>
            </w:r>
            <w:r w:rsidR="00642F2A">
              <w:t xml:space="preserve">When you compute taxable pay on </w:t>
            </w:r>
            <w:proofErr w:type="gramStart"/>
            <w:r w:rsidR="00642F2A">
              <w:t>a</w:t>
            </w:r>
            <w:proofErr w:type="gramEnd"/>
            <w:r w:rsidR="00642F2A">
              <w:t xml:space="preserve"> YTD basis, it may appear as though a correction is necessary.  </w:t>
            </w:r>
            <w:r w:rsidR="00904DE5">
              <w:t>If you encounter an exception for this scenario, review the</w:t>
            </w:r>
            <w:r w:rsidR="00642F2A">
              <w:t xml:space="preserve"> employee’s</w:t>
            </w:r>
            <w:r w:rsidR="00904DE5">
              <w:t xml:space="preserve"> Payline history to </w:t>
            </w:r>
            <w:r w:rsidR="00642F2A">
              <w:t xml:space="preserve">compute </w:t>
            </w:r>
            <w:r w:rsidR="00904DE5">
              <w:t>the</w:t>
            </w:r>
            <w:r w:rsidR="00642F2A">
              <w:t xml:space="preserve"> amount of taxable earnings on a pay period basis to validate the record.</w:t>
            </w:r>
          </w:p>
          <w:p w:rsidR="00BF1808" w:rsidRDefault="002A3EE7" w:rsidP="00BA3467">
            <w:pPr>
              <w:pStyle w:val="BlockText"/>
              <w:numPr>
                <w:ilvl w:val="0"/>
                <w:numId w:val="13"/>
              </w:numPr>
              <w:tabs>
                <w:tab w:val="left" w:pos="4554"/>
              </w:tabs>
            </w:pPr>
            <w:r>
              <w:t>Employees with FICA Status “1”.  Every employee with FICA Statu</w:t>
            </w:r>
            <w:r w:rsidR="001F12F1">
              <w:t xml:space="preserve">s “1” will print an exception because the employee record </w:t>
            </w:r>
            <w:proofErr w:type="gramStart"/>
            <w:r w:rsidR="001F12F1">
              <w:t>should be established</w:t>
            </w:r>
            <w:proofErr w:type="gramEnd"/>
            <w:r w:rsidR="001F12F1">
              <w:t xml:space="preserve"> to withhold FICA unless the type of earnings is classified as FICA non-taxable.  Regular pay is taxable, student wages are FICA non-taxable.  </w:t>
            </w:r>
            <w:r w:rsidR="00E50392">
              <w:t xml:space="preserve">Higher </w:t>
            </w:r>
            <w:r w:rsidR="00952CBB">
              <w:t>e</w:t>
            </w:r>
            <w:r w:rsidR="00E50392">
              <w:t xml:space="preserve">ducation </w:t>
            </w:r>
            <w:r w:rsidR="00952CBB">
              <w:t>i</w:t>
            </w:r>
            <w:r w:rsidR="00E50392">
              <w:t>nstitutions should review the section in this bulletin regarding stud</w:t>
            </w:r>
            <w:r w:rsidR="001F12F1">
              <w:t>ent wages to avoid these exceptions.</w:t>
            </w:r>
          </w:p>
          <w:p w:rsidR="00BA3467" w:rsidRDefault="00BA3467" w:rsidP="00BA3467">
            <w:pPr>
              <w:pStyle w:val="BlockText"/>
              <w:tabs>
                <w:tab w:val="left" w:pos="4554"/>
              </w:tabs>
            </w:pPr>
          </w:p>
          <w:p w:rsidR="00BE032C" w:rsidRDefault="00BA3467" w:rsidP="001F12F1">
            <w:pPr>
              <w:pStyle w:val="BlockText"/>
              <w:tabs>
                <w:tab w:val="left" w:pos="4554"/>
              </w:tabs>
            </w:pPr>
            <w:r>
              <w:t xml:space="preserve">Review the exceptions printed on the U093 each month.  If you cannot correct the </w:t>
            </w:r>
            <w:r w:rsidR="001F12F1">
              <w:t>error</w:t>
            </w:r>
            <w:r>
              <w:t xml:space="preserve"> using a manual </w:t>
            </w:r>
            <w:proofErr w:type="spellStart"/>
            <w:r>
              <w:t>payset</w:t>
            </w:r>
            <w:proofErr w:type="spellEnd"/>
            <w:r>
              <w:t xml:space="preserve">, send the new adjustment form mentioned in </w:t>
            </w:r>
            <w:r w:rsidR="000B399D">
              <w:t>this bulletin</w:t>
            </w:r>
            <w:r>
              <w:t xml:space="preserve"> to SPO.</w:t>
            </w:r>
          </w:p>
        </w:tc>
      </w:tr>
    </w:tbl>
    <w:p w:rsidR="004A017B" w:rsidRDefault="004A017B" w:rsidP="004A017B">
      <w:pPr>
        <w:pStyle w:val="BlockLine"/>
        <w:ind w:left="1620"/>
        <w:rPr>
          <w:sz w:val="16"/>
          <w:szCs w:val="16"/>
        </w:rPr>
      </w:pPr>
    </w:p>
    <w:tbl>
      <w:tblPr>
        <w:tblW w:w="10381" w:type="dxa"/>
        <w:tblLayout w:type="fixed"/>
        <w:tblLook w:val="0000" w:firstRow="0" w:lastRow="0" w:firstColumn="0" w:lastColumn="0" w:noHBand="0" w:noVBand="0"/>
      </w:tblPr>
      <w:tblGrid>
        <w:gridCol w:w="1485"/>
        <w:gridCol w:w="8896"/>
      </w:tblGrid>
      <w:tr w:rsidR="004A017B" w:rsidTr="004A017B">
        <w:trPr>
          <w:cantSplit/>
          <w:trHeight w:val="2424"/>
        </w:trPr>
        <w:tc>
          <w:tcPr>
            <w:tcW w:w="1485" w:type="dxa"/>
          </w:tcPr>
          <w:p w:rsidR="004A017B" w:rsidRDefault="00251472" w:rsidP="00BF28D8">
            <w:pPr>
              <w:pStyle w:val="Heading5"/>
            </w:pPr>
            <w:r>
              <w:t>New Fields on PAT Queries</w:t>
            </w:r>
          </w:p>
        </w:tc>
        <w:tc>
          <w:tcPr>
            <w:tcW w:w="8896" w:type="dxa"/>
          </w:tcPr>
          <w:p w:rsidR="00251472" w:rsidRDefault="00D9705A" w:rsidP="009C1191">
            <w:pPr>
              <w:pStyle w:val="BlockText"/>
              <w:tabs>
                <w:tab w:val="left" w:pos="4554"/>
              </w:tabs>
              <w:ind w:left="162"/>
              <w:rPr>
                <w:sz w:val="23"/>
                <w:szCs w:val="23"/>
              </w:rPr>
            </w:pPr>
            <w:r>
              <w:rPr>
                <w:sz w:val="23"/>
                <w:szCs w:val="23"/>
              </w:rPr>
              <w:t xml:space="preserve">To help agencies reconcile OASDI and HI Taxes as required, several new fields </w:t>
            </w:r>
            <w:proofErr w:type="gramStart"/>
            <w:r w:rsidR="00D75CB7">
              <w:rPr>
                <w:sz w:val="23"/>
                <w:szCs w:val="23"/>
              </w:rPr>
              <w:t>will be</w:t>
            </w:r>
            <w:r>
              <w:rPr>
                <w:sz w:val="23"/>
                <w:szCs w:val="23"/>
              </w:rPr>
              <w:t xml:space="preserve"> added</w:t>
            </w:r>
            <w:proofErr w:type="gramEnd"/>
            <w:r>
              <w:rPr>
                <w:sz w:val="23"/>
                <w:szCs w:val="23"/>
              </w:rPr>
              <w:t xml:space="preserve"> to the State Tax Masterfile Query in PA</w:t>
            </w:r>
            <w:r w:rsidR="00D75CB7">
              <w:rPr>
                <w:sz w:val="23"/>
                <w:szCs w:val="23"/>
              </w:rPr>
              <w:t>T.  Be on the lookout for these new fields:</w:t>
            </w:r>
          </w:p>
          <w:p w:rsidR="00D9705A" w:rsidRDefault="00D9705A" w:rsidP="009C1191">
            <w:pPr>
              <w:pStyle w:val="BlockText"/>
              <w:tabs>
                <w:tab w:val="left" w:pos="4554"/>
              </w:tabs>
              <w:ind w:left="162"/>
              <w:rPr>
                <w:sz w:val="23"/>
                <w:szCs w:val="23"/>
              </w:rPr>
            </w:pPr>
          </w:p>
          <w:p w:rsidR="00D9705A" w:rsidRDefault="00D9705A" w:rsidP="00D9705A">
            <w:pPr>
              <w:pStyle w:val="BlockText"/>
              <w:numPr>
                <w:ilvl w:val="0"/>
                <w:numId w:val="19"/>
              </w:numPr>
              <w:tabs>
                <w:tab w:val="left" w:pos="4554"/>
              </w:tabs>
              <w:rPr>
                <w:sz w:val="23"/>
                <w:szCs w:val="23"/>
              </w:rPr>
            </w:pPr>
            <w:r>
              <w:rPr>
                <w:sz w:val="23"/>
                <w:szCs w:val="23"/>
              </w:rPr>
              <w:t>OASDI Taxable</w:t>
            </w:r>
          </w:p>
          <w:p w:rsidR="00D9705A" w:rsidRDefault="00D9705A" w:rsidP="00D9705A">
            <w:pPr>
              <w:pStyle w:val="BlockText"/>
              <w:numPr>
                <w:ilvl w:val="0"/>
                <w:numId w:val="19"/>
              </w:numPr>
              <w:tabs>
                <w:tab w:val="left" w:pos="4554"/>
              </w:tabs>
              <w:rPr>
                <w:sz w:val="23"/>
                <w:szCs w:val="23"/>
              </w:rPr>
            </w:pPr>
            <w:r>
              <w:rPr>
                <w:sz w:val="23"/>
                <w:szCs w:val="23"/>
              </w:rPr>
              <w:t>HI Taxable</w:t>
            </w:r>
          </w:p>
          <w:p w:rsidR="00D9705A" w:rsidRDefault="00D9705A" w:rsidP="00D9705A">
            <w:pPr>
              <w:pStyle w:val="BlockText"/>
              <w:numPr>
                <w:ilvl w:val="0"/>
                <w:numId w:val="19"/>
              </w:numPr>
              <w:tabs>
                <w:tab w:val="left" w:pos="4554"/>
              </w:tabs>
              <w:rPr>
                <w:sz w:val="23"/>
                <w:szCs w:val="23"/>
              </w:rPr>
            </w:pPr>
            <w:r>
              <w:rPr>
                <w:sz w:val="23"/>
                <w:szCs w:val="23"/>
              </w:rPr>
              <w:t>SUI Taxable</w:t>
            </w:r>
          </w:p>
          <w:p w:rsidR="00D9705A" w:rsidRDefault="00D9705A" w:rsidP="00D9705A">
            <w:pPr>
              <w:pStyle w:val="BlockText"/>
              <w:numPr>
                <w:ilvl w:val="0"/>
                <w:numId w:val="19"/>
              </w:numPr>
              <w:tabs>
                <w:tab w:val="left" w:pos="4554"/>
              </w:tabs>
              <w:rPr>
                <w:sz w:val="23"/>
                <w:szCs w:val="23"/>
              </w:rPr>
            </w:pPr>
            <w:r>
              <w:rPr>
                <w:sz w:val="23"/>
                <w:szCs w:val="23"/>
              </w:rPr>
              <w:t>SUI Tax</w:t>
            </w:r>
          </w:p>
          <w:p w:rsidR="00D9705A" w:rsidRDefault="00D9705A" w:rsidP="00D9705A">
            <w:pPr>
              <w:pStyle w:val="BlockText"/>
              <w:numPr>
                <w:ilvl w:val="0"/>
                <w:numId w:val="19"/>
              </w:numPr>
              <w:tabs>
                <w:tab w:val="left" w:pos="4554"/>
              </w:tabs>
              <w:rPr>
                <w:sz w:val="23"/>
                <w:szCs w:val="23"/>
              </w:rPr>
            </w:pPr>
            <w:r>
              <w:rPr>
                <w:sz w:val="23"/>
                <w:szCs w:val="23"/>
              </w:rPr>
              <w:t>OASDI Tax</w:t>
            </w:r>
          </w:p>
          <w:p w:rsidR="00251472" w:rsidRPr="004A017B" w:rsidRDefault="00D9705A" w:rsidP="00D75CB7">
            <w:pPr>
              <w:pStyle w:val="BlockText"/>
              <w:numPr>
                <w:ilvl w:val="0"/>
                <w:numId w:val="19"/>
              </w:numPr>
              <w:tabs>
                <w:tab w:val="left" w:pos="4554"/>
              </w:tabs>
              <w:rPr>
                <w:sz w:val="23"/>
                <w:szCs w:val="23"/>
              </w:rPr>
            </w:pPr>
            <w:r>
              <w:rPr>
                <w:sz w:val="23"/>
                <w:szCs w:val="23"/>
              </w:rPr>
              <w:t>HI Tax</w:t>
            </w:r>
          </w:p>
        </w:tc>
      </w:tr>
    </w:tbl>
    <w:p w:rsidR="00D9705A" w:rsidRDefault="00EA1231" w:rsidP="00C04138">
      <w:r>
        <w:t xml:space="preserve"> </w:t>
      </w:r>
      <w:r>
        <w:tab/>
      </w:r>
    </w:p>
    <w:p w:rsidR="004A017B" w:rsidRDefault="004A017B" w:rsidP="004A017B">
      <w:pPr>
        <w:pStyle w:val="BlockLine"/>
        <w:ind w:left="1620"/>
        <w:rPr>
          <w:sz w:val="16"/>
          <w:szCs w:val="16"/>
        </w:rPr>
      </w:pPr>
    </w:p>
    <w:p w:rsidR="00A21A52" w:rsidRPr="00BE032C" w:rsidRDefault="00A21A52" w:rsidP="00A21A52">
      <w:pPr>
        <w:pStyle w:val="NormalWeb"/>
        <w:rPr>
          <w:bCs/>
          <w:color w:val="000000"/>
          <w:sz w:val="28"/>
          <w:szCs w:val="28"/>
        </w:rPr>
      </w:pPr>
      <w:r>
        <w:rPr>
          <w:b/>
          <w:bCs/>
          <w:color w:val="000000"/>
          <w:sz w:val="28"/>
          <w:szCs w:val="28"/>
        </w:rPr>
        <w:t xml:space="preserve">New Quarterly Certification Procedures and Forms, </w:t>
      </w:r>
      <w:r>
        <w:rPr>
          <w:bCs/>
          <w:color w:val="000000"/>
          <w:sz w:val="28"/>
          <w:szCs w:val="28"/>
        </w:rPr>
        <w:t>continued</w:t>
      </w:r>
    </w:p>
    <w:p w:rsidR="00A21A52" w:rsidRDefault="00A21A52" w:rsidP="00A21A52">
      <w:pPr>
        <w:pStyle w:val="BlockLine"/>
        <w:ind w:left="1350"/>
        <w:rPr>
          <w:sz w:val="16"/>
          <w:szCs w:val="16"/>
        </w:rPr>
      </w:pPr>
    </w:p>
    <w:tbl>
      <w:tblPr>
        <w:tblW w:w="10188" w:type="dxa"/>
        <w:tblLayout w:type="fixed"/>
        <w:tblLook w:val="0000" w:firstRow="0" w:lastRow="0" w:firstColumn="0" w:lastColumn="0" w:noHBand="0" w:noVBand="0"/>
      </w:tblPr>
      <w:tblGrid>
        <w:gridCol w:w="1458"/>
        <w:gridCol w:w="8730"/>
      </w:tblGrid>
      <w:tr w:rsidR="00A21A52" w:rsidTr="00BF28D8">
        <w:trPr>
          <w:cantSplit/>
        </w:trPr>
        <w:tc>
          <w:tcPr>
            <w:tcW w:w="1458" w:type="dxa"/>
          </w:tcPr>
          <w:p w:rsidR="00A21A52" w:rsidRDefault="00A21A52" w:rsidP="00BF28D8">
            <w:pPr>
              <w:pStyle w:val="Heading5"/>
            </w:pPr>
            <w:r>
              <w:t>New Adjustment Form</w:t>
            </w:r>
          </w:p>
        </w:tc>
        <w:tc>
          <w:tcPr>
            <w:tcW w:w="8730" w:type="dxa"/>
          </w:tcPr>
          <w:p w:rsidR="00A6682E" w:rsidRDefault="00AC75B7" w:rsidP="00A6682E">
            <w:pPr>
              <w:pStyle w:val="BlockText"/>
              <w:tabs>
                <w:tab w:val="left" w:pos="4554"/>
              </w:tabs>
            </w:pPr>
            <w:r>
              <w:t xml:space="preserve">Effective immediately, line agencies must use the </w:t>
            </w:r>
            <w:hyperlink r:id="rId11" w:history="1">
              <w:r w:rsidRPr="00AC75B7">
                <w:rPr>
                  <w:rStyle w:val="Hyperlink"/>
                </w:rPr>
                <w:t>Employee File Adjustment Form</w:t>
              </w:r>
            </w:hyperlink>
            <w:r>
              <w:t xml:space="preserve"> found on </w:t>
            </w:r>
            <w:r w:rsidR="001F15D4">
              <w:t>the</w:t>
            </w:r>
            <w:r>
              <w:t xml:space="preserve"> website.  </w:t>
            </w:r>
            <w:r w:rsidR="00B0640B">
              <w:t>S</w:t>
            </w:r>
            <w:r w:rsidR="00A6682E">
              <w:t xml:space="preserve">creen prints or emails </w:t>
            </w:r>
            <w:r w:rsidR="00B0640B">
              <w:t xml:space="preserve">requesting </w:t>
            </w:r>
            <w:r w:rsidR="00FC08D5">
              <w:t xml:space="preserve">changes that </w:t>
            </w:r>
            <w:proofErr w:type="gramStart"/>
            <w:r w:rsidR="00FC08D5">
              <w:t>should be processed</w:t>
            </w:r>
            <w:proofErr w:type="gramEnd"/>
            <w:r w:rsidR="00FC08D5">
              <w:t xml:space="preserve"> through manual </w:t>
            </w:r>
            <w:proofErr w:type="spellStart"/>
            <w:r w:rsidR="00FC08D5">
              <w:t>paysets</w:t>
            </w:r>
            <w:proofErr w:type="spellEnd"/>
            <w:r w:rsidR="00FC08D5">
              <w:t xml:space="preserve"> </w:t>
            </w:r>
            <w:r w:rsidR="00B0640B">
              <w:t>will no longer be accepted.</w:t>
            </w:r>
          </w:p>
          <w:p w:rsidR="00A6682E" w:rsidRDefault="00A6682E" w:rsidP="00BF28D8">
            <w:pPr>
              <w:pStyle w:val="BlockText"/>
              <w:tabs>
                <w:tab w:val="left" w:pos="4554"/>
              </w:tabs>
            </w:pPr>
          </w:p>
          <w:p w:rsidR="00AC75B7" w:rsidRDefault="00AC75B7" w:rsidP="00BF28D8">
            <w:pPr>
              <w:pStyle w:val="BlockText"/>
              <w:tabs>
                <w:tab w:val="left" w:pos="4554"/>
              </w:tabs>
            </w:pPr>
            <w:r>
              <w:t>Manual adjustments to the employee file reflect changes made outside of the payroll system</w:t>
            </w:r>
            <w:r w:rsidR="00A6682E">
              <w:t xml:space="preserve"> to the employee’s record</w:t>
            </w:r>
            <w:r>
              <w:t>.  Therefore, as an audit control, the new form requires the signature of a Certifying Officer.</w:t>
            </w:r>
          </w:p>
          <w:p w:rsidR="00AC75B7" w:rsidRDefault="00AC75B7" w:rsidP="00BF28D8">
            <w:pPr>
              <w:pStyle w:val="BlockText"/>
              <w:tabs>
                <w:tab w:val="left" w:pos="4554"/>
              </w:tabs>
            </w:pPr>
          </w:p>
          <w:p w:rsidR="00AC75B7" w:rsidRDefault="00AC75B7" w:rsidP="00BF28D8">
            <w:pPr>
              <w:pStyle w:val="BlockText"/>
              <w:tabs>
                <w:tab w:val="left" w:pos="4554"/>
              </w:tabs>
            </w:pPr>
            <w:r>
              <w:t xml:space="preserve">The new form is a spreadsheet.  </w:t>
            </w:r>
            <w:r w:rsidR="00F54F77">
              <w:t>Enter</w:t>
            </w:r>
            <w:r>
              <w:t xml:space="preserve"> information about the employees’ pay record on the initial s</w:t>
            </w:r>
            <w:r w:rsidR="00A6682E">
              <w:t>heet</w:t>
            </w:r>
            <w:r w:rsidR="00FC08D5">
              <w:t>;</w:t>
            </w:r>
            <w:r>
              <w:t xml:space="preserve"> the spreadsheet will calculate the correct taxable </w:t>
            </w:r>
            <w:proofErr w:type="gramStart"/>
            <w:r>
              <w:t>amounts</w:t>
            </w:r>
            <w:proofErr w:type="gramEnd"/>
            <w:r>
              <w:t xml:space="preserve"> as they should be reported on the tax accumulation screens.  </w:t>
            </w:r>
            <w:r w:rsidR="00F54F77">
              <w:t>Then</w:t>
            </w:r>
            <w:r>
              <w:t xml:space="preserve"> key the current amount of the accumulator creating a difference whe</w:t>
            </w:r>
            <w:r w:rsidR="00A1394A">
              <w:t>rever</w:t>
            </w:r>
            <w:r>
              <w:t xml:space="preserve"> a change is necessary.  </w:t>
            </w:r>
          </w:p>
          <w:p w:rsidR="00AC75B7" w:rsidRDefault="00AC75B7" w:rsidP="00BF28D8">
            <w:pPr>
              <w:pStyle w:val="BlockText"/>
              <w:tabs>
                <w:tab w:val="left" w:pos="4554"/>
              </w:tabs>
            </w:pPr>
          </w:p>
          <w:p w:rsidR="00AC75B7" w:rsidRPr="00B0640B" w:rsidRDefault="00A6682E" w:rsidP="00BF28D8">
            <w:pPr>
              <w:pStyle w:val="BlockText"/>
              <w:tabs>
                <w:tab w:val="left" w:pos="4554"/>
              </w:tabs>
              <w:rPr>
                <w:b/>
              </w:rPr>
            </w:pPr>
            <w:r>
              <w:t>You will notice that the new form is limited to certain fields that are appropriate to change outside of the payroll</w:t>
            </w:r>
            <w:r w:rsidR="00B0640B">
              <w:t xml:space="preserve"> process</w:t>
            </w:r>
            <w:r>
              <w:t xml:space="preserve">.  For example, </w:t>
            </w:r>
            <w:r w:rsidR="00AC75B7">
              <w:t xml:space="preserve">taxes are no longer included on the adjustment form.  </w:t>
            </w:r>
            <w:r w:rsidR="00B0640B">
              <w:t xml:space="preserve">For federal and state taxes, only adjust using a manual </w:t>
            </w:r>
            <w:proofErr w:type="spellStart"/>
            <w:r w:rsidR="00B0640B">
              <w:t>payset</w:t>
            </w:r>
            <w:proofErr w:type="spellEnd"/>
            <w:r w:rsidR="00B0640B">
              <w:t xml:space="preserve">.  </w:t>
            </w:r>
            <w:r w:rsidR="00B0640B" w:rsidRPr="00B0640B">
              <w:rPr>
                <w:b/>
              </w:rPr>
              <w:t>DO NOT USE MANUAL PAYSETS TO REFUND OASDI OR HI AS THEY ARE SELF ADJUSTING.</w:t>
            </w:r>
            <w:r w:rsidR="00B0640B">
              <w:t xml:space="preserve">   </w:t>
            </w:r>
            <w:r w:rsidR="004630CE">
              <w:rPr>
                <w:b/>
              </w:rPr>
              <w:t>SEND Q</w:t>
            </w:r>
            <w:r w:rsidR="00B0640B" w:rsidRPr="00B0640B">
              <w:rPr>
                <w:b/>
              </w:rPr>
              <w:t xml:space="preserve">UESTIONS </w:t>
            </w:r>
            <w:r w:rsidR="004630CE">
              <w:rPr>
                <w:b/>
              </w:rPr>
              <w:t>REGARDING</w:t>
            </w:r>
            <w:r w:rsidR="00B0640B" w:rsidRPr="00B0640B">
              <w:rPr>
                <w:b/>
              </w:rPr>
              <w:t xml:space="preserve"> OASDI OR HI ADJUSTMENTS </w:t>
            </w:r>
            <w:r w:rsidR="004630CE">
              <w:rPr>
                <w:b/>
              </w:rPr>
              <w:t xml:space="preserve">TO </w:t>
            </w:r>
            <w:r w:rsidR="00B0640B" w:rsidRPr="00B0640B">
              <w:rPr>
                <w:b/>
              </w:rPr>
              <w:t>PAYROLL@DOA.VIRGINIA.GOV.</w:t>
            </w:r>
          </w:p>
          <w:p w:rsidR="00A6682E" w:rsidRDefault="00A6682E" w:rsidP="00BF28D8">
            <w:pPr>
              <w:pStyle w:val="BlockText"/>
              <w:tabs>
                <w:tab w:val="left" w:pos="4554"/>
              </w:tabs>
            </w:pPr>
          </w:p>
          <w:p w:rsidR="00AC75B7" w:rsidRDefault="00A6682E" w:rsidP="00B0640B">
            <w:pPr>
              <w:pStyle w:val="BlockText"/>
              <w:tabs>
                <w:tab w:val="left" w:pos="4554"/>
              </w:tabs>
            </w:pPr>
            <w:r>
              <w:t xml:space="preserve">Use this form throughout the year for any adjustment that </w:t>
            </w:r>
            <w:proofErr w:type="gramStart"/>
            <w:r w:rsidR="004630CE">
              <w:t>cannot</w:t>
            </w:r>
            <w:r>
              <w:t xml:space="preserve"> be corrected</w:t>
            </w:r>
            <w:proofErr w:type="gramEnd"/>
            <w:r>
              <w:t xml:space="preserve"> with a manual </w:t>
            </w:r>
            <w:proofErr w:type="spellStart"/>
            <w:r>
              <w:t>payset</w:t>
            </w:r>
            <w:proofErr w:type="spellEnd"/>
            <w:r>
              <w:t xml:space="preserve">.  Manual </w:t>
            </w:r>
            <w:proofErr w:type="spellStart"/>
            <w:r>
              <w:t>paysets</w:t>
            </w:r>
            <w:proofErr w:type="spellEnd"/>
            <w:r>
              <w:t xml:space="preserve"> are always the preferred method for corrections as they provide a better audit trail and </w:t>
            </w:r>
            <w:r w:rsidR="00F54F77">
              <w:t xml:space="preserve">are </w:t>
            </w:r>
            <w:r>
              <w:t xml:space="preserve">less prone to errors.  </w:t>
            </w:r>
            <w:r w:rsidR="00106DE8">
              <w:t>Manual a</w:t>
            </w:r>
            <w:r>
              <w:t>djustment</w:t>
            </w:r>
            <w:r w:rsidR="00106DE8">
              <w:t xml:space="preserve">s requested using the new form </w:t>
            </w:r>
            <w:r>
              <w:t xml:space="preserve">will not reflect on Report 33 and </w:t>
            </w:r>
            <w:proofErr w:type="gramStart"/>
            <w:r>
              <w:t>must be entered</w:t>
            </w:r>
            <w:proofErr w:type="gramEnd"/>
            <w:r>
              <w:t xml:space="preserve"> manually into the PAT Quarterly Control Totals as an adjustment.</w:t>
            </w:r>
          </w:p>
        </w:tc>
      </w:tr>
    </w:tbl>
    <w:p w:rsidR="00A6682E" w:rsidRDefault="00A6682E" w:rsidP="00A6682E">
      <w:pPr>
        <w:pStyle w:val="BlockLine"/>
        <w:ind w:left="1620"/>
        <w:rPr>
          <w:sz w:val="16"/>
          <w:szCs w:val="16"/>
        </w:rPr>
      </w:pPr>
    </w:p>
    <w:tbl>
      <w:tblPr>
        <w:tblW w:w="10246" w:type="dxa"/>
        <w:tblLayout w:type="fixed"/>
        <w:tblLook w:val="0000" w:firstRow="0" w:lastRow="0" w:firstColumn="0" w:lastColumn="0" w:noHBand="0" w:noVBand="0"/>
      </w:tblPr>
      <w:tblGrid>
        <w:gridCol w:w="1465"/>
        <w:gridCol w:w="8781"/>
      </w:tblGrid>
      <w:tr w:rsidR="00BC268E" w:rsidTr="00B17A18">
        <w:trPr>
          <w:cantSplit/>
          <w:trHeight w:val="4603"/>
        </w:trPr>
        <w:tc>
          <w:tcPr>
            <w:tcW w:w="1465" w:type="dxa"/>
          </w:tcPr>
          <w:p w:rsidR="00BC268E" w:rsidRDefault="00BC268E" w:rsidP="00BC268E">
            <w:pPr>
              <w:pStyle w:val="Heading5"/>
            </w:pPr>
            <w:r>
              <w:t>New Tax Quarterly Certification Form</w:t>
            </w:r>
          </w:p>
        </w:tc>
        <w:tc>
          <w:tcPr>
            <w:tcW w:w="8781" w:type="dxa"/>
          </w:tcPr>
          <w:p w:rsidR="00BC268E" w:rsidRDefault="00BC268E" w:rsidP="00BF28D8">
            <w:pPr>
              <w:pStyle w:val="BlockText"/>
              <w:tabs>
                <w:tab w:val="left" w:pos="4554"/>
              </w:tabs>
            </w:pPr>
            <w:r>
              <w:t>Effective with the 1</w:t>
            </w:r>
            <w:r w:rsidRPr="00BC268E">
              <w:rPr>
                <w:vertAlign w:val="superscript"/>
              </w:rPr>
              <w:t>st</w:t>
            </w:r>
            <w:r>
              <w:t xml:space="preserve"> Quarter, line agencies must use the new </w:t>
            </w:r>
            <w:hyperlink r:id="rId12" w:history="1">
              <w:r w:rsidRPr="00BC268E">
                <w:rPr>
                  <w:rStyle w:val="Hyperlink"/>
                </w:rPr>
                <w:t>Quarterly Certification Form</w:t>
              </w:r>
            </w:hyperlink>
            <w:r>
              <w:t xml:space="preserve"> found on </w:t>
            </w:r>
            <w:r w:rsidR="00FC08D5">
              <w:t xml:space="preserve">the </w:t>
            </w:r>
            <w:r>
              <w:t xml:space="preserve">website.  </w:t>
            </w:r>
          </w:p>
          <w:p w:rsidR="00BC268E" w:rsidRDefault="00BC268E" w:rsidP="00BF28D8">
            <w:pPr>
              <w:pStyle w:val="BlockText"/>
              <w:tabs>
                <w:tab w:val="left" w:pos="4554"/>
              </w:tabs>
            </w:pPr>
          </w:p>
          <w:p w:rsidR="00BC268E" w:rsidRDefault="00BC268E" w:rsidP="00BF28D8">
            <w:pPr>
              <w:pStyle w:val="BlockText"/>
              <w:tabs>
                <w:tab w:val="left" w:pos="4554"/>
              </w:tabs>
            </w:pPr>
            <w:r>
              <w:t xml:space="preserve">The new form is a spreadsheet.  Agencies are required to enter the </w:t>
            </w:r>
            <w:r w:rsidR="00D1707D">
              <w:t xml:space="preserve">YTD </w:t>
            </w:r>
            <w:r>
              <w:t xml:space="preserve">taxable totals from the PAT Quarterly Control Totals, the U092 and the Report 56.  If the PAT Quarterly Control Totals do not match the Report 56 or the U092, agencies must </w:t>
            </w:r>
            <w:r w:rsidR="000C2640">
              <w:t>find the cause and report the item as an adjustment using the Control Totals in PAT.  SPO will review these adjustments for correctness.</w:t>
            </w:r>
          </w:p>
          <w:p w:rsidR="000C2640" w:rsidRDefault="000C2640" w:rsidP="00BF28D8">
            <w:pPr>
              <w:pStyle w:val="BlockText"/>
              <w:tabs>
                <w:tab w:val="left" w:pos="4554"/>
              </w:tabs>
            </w:pPr>
          </w:p>
          <w:p w:rsidR="000C2640" w:rsidRDefault="000C2640" w:rsidP="00CB05AA">
            <w:pPr>
              <w:pStyle w:val="BlockText"/>
              <w:tabs>
                <w:tab w:val="left" w:pos="4554"/>
              </w:tabs>
            </w:pPr>
            <w:r>
              <w:t xml:space="preserve">The spreadsheet uses the amounts to highlight </w:t>
            </w:r>
            <w:r w:rsidR="00CB05AA">
              <w:t>key diff</w:t>
            </w:r>
            <w:r w:rsidR="00B17A18">
              <w:t xml:space="preserve">erences that require </w:t>
            </w:r>
            <w:r w:rsidR="0018756F">
              <w:t>attention.</w:t>
            </w:r>
            <w:r w:rsidR="00B17A18">
              <w:t xml:space="preserve">  Please follow the instructions on the spreadsheet to identif</w:t>
            </w:r>
            <w:r w:rsidR="00AF08CA">
              <w:t>y and resolve any differences.</w:t>
            </w:r>
          </w:p>
          <w:p w:rsidR="00AF08CA" w:rsidRDefault="00AF08CA" w:rsidP="00CB05AA">
            <w:pPr>
              <w:pStyle w:val="BlockText"/>
              <w:tabs>
                <w:tab w:val="left" w:pos="4554"/>
              </w:tabs>
            </w:pPr>
          </w:p>
          <w:p w:rsidR="00AF08CA" w:rsidRDefault="00AF08CA" w:rsidP="00CB05AA">
            <w:pPr>
              <w:pStyle w:val="BlockText"/>
              <w:tabs>
                <w:tab w:val="left" w:pos="4554"/>
              </w:tabs>
            </w:pPr>
            <w:r>
              <w:t>When the reconciliation is complete, submit the following to SPO by the deadline:</w:t>
            </w:r>
          </w:p>
          <w:p w:rsidR="00AF08CA" w:rsidRDefault="00AF08CA" w:rsidP="00CB05AA">
            <w:pPr>
              <w:pStyle w:val="BlockText"/>
              <w:tabs>
                <w:tab w:val="left" w:pos="4554"/>
              </w:tabs>
            </w:pPr>
          </w:p>
          <w:p w:rsidR="00A94445" w:rsidRDefault="00A94445" w:rsidP="00A94445">
            <w:pPr>
              <w:pStyle w:val="BlockText"/>
              <w:numPr>
                <w:ilvl w:val="0"/>
                <w:numId w:val="18"/>
              </w:numPr>
              <w:tabs>
                <w:tab w:val="left" w:pos="4554"/>
              </w:tabs>
              <w:rPr>
                <w:sz w:val="22"/>
                <w:szCs w:val="22"/>
              </w:rPr>
            </w:pPr>
            <w:r>
              <w:rPr>
                <w:sz w:val="22"/>
                <w:szCs w:val="22"/>
              </w:rPr>
              <w:t>Use the “Print Certification Packet” button on the Quarterly Certification tab.  Submit all pages that are printed.  The Fiscal Officer must sign the Certification Summary.</w:t>
            </w:r>
          </w:p>
          <w:p w:rsidR="00A94445" w:rsidRDefault="00A94445" w:rsidP="00A94445">
            <w:pPr>
              <w:pStyle w:val="BlockText"/>
              <w:numPr>
                <w:ilvl w:val="0"/>
                <w:numId w:val="18"/>
              </w:numPr>
              <w:tabs>
                <w:tab w:val="left" w:pos="4554"/>
              </w:tabs>
              <w:rPr>
                <w:sz w:val="22"/>
                <w:szCs w:val="22"/>
              </w:rPr>
            </w:pPr>
            <w:r>
              <w:rPr>
                <w:sz w:val="22"/>
                <w:szCs w:val="22"/>
              </w:rPr>
              <w:t>Print and have the Fiscal Officer sign the first page of the Report 56 Company Totals.</w:t>
            </w:r>
          </w:p>
          <w:p w:rsidR="00AF08CA" w:rsidRPr="00B17A18" w:rsidRDefault="00AF08CA" w:rsidP="00A94445">
            <w:pPr>
              <w:pStyle w:val="BlockText"/>
              <w:tabs>
                <w:tab w:val="left" w:pos="4554"/>
              </w:tabs>
              <w:ind w:left="720"/>
              <w:rPr>
                <w:sz w:val="22"/>
                <w:szCs w:val="22"/>
              </w:rPr>
            </w:pPr>
          </w:p>
        </w:tc>
      </w:tr>
    </w:tbl>
    <w:p w:rsidR="00BC268E" w:rsidRDefault="00BC268E" w:rsidP="00BC268E">
      <w:pPr>
        <w:pStyle w:val="BlockLine"/>
        <w:ind w:left="1620"/>
        <w:rPr>
          <w:sz w:val="16"/>
          <w:szCs w:val="16"/>
        </w:rPr>
      </w:pPr>
    </w:p>
    <w:p w:rsidR="00CB05AA" w:rsidRPr="00BE032C" w:rsidRDefault="00CB05AA" w:rsidP="00CB05AA">
      <w:pPr>
        <w:pStyle w:val="NormalWeb"/>
        <w:rPr>
          <w:bCs/>
          <w:color w:val="000000"/>
          <w:sz w:val="28"/>
          <w:szCs w:val="28"/>
        </w:rPr>
      </w:pPr>
      <w:r>
        <w:rPr>
          <w:b/>
          <w:bCs/>
          <w:color w:val="000000"/>
          <w:sz w:val="28"/>
          <w:szCs w:val="28"/>
        </w:rPr>
        <w:lastRenderedPageBreak/>
        <w:t xml:space="preserve">New Quarterly Certification Procedures and Forms, </w:t>
      </w:r>
      <w:r>
        <w:rPr>
          <w:bCs/>
          <w:color w:val="000000"/>
          <w:sz w:val="28"/>
          <w:szCs w:val="28"/>
        </w:rPr>
        <w:t>continued</w:t>
      </w:r>
    </w:p>
    <w:p w:rsidR="00CB05AA" w:rsidRDefault="00CB05AA" w:rsidP="00CB05AA">
      <w:pPr>
        <w:pStyle w:val="BlockLine"/>
        <w:ind w:left="1350"/>
        <w:rPr>
          <w:sz w:val="16"/>
          <w:szCs w:val="16"/>
        </w:rPr>
      </w:pPr>
    </w:p>
    <w:tbl>
      <w:tblPr>
        <w:tblW w:w="10188" w:type="dxa"/>
        <w:tblLayout w:type="fixed"/>
        <w:tblLook w:val="0000" w:firstRow="0" w:lastRow="0" w:firstColumn="0" w:lastColumn="0" w:noHBand="0" w:noVBand="0"/>
      </w:tblPr>
      <w:tblGrid>
        <w:gridCol w:w="1458"/>
        <w:gridCol w:w="8730"/>
      </w:tblGrid>
      <w:tr w:rsidR="00BA5354" w:rsidTr="00BF28D8">
        <w:trPr>
          <w:cantSplit/>
        </w:trPr>
        <w:tc>
          <w:tcPr>
            <w:tcW w:w="1458" w:type="dxa"/>
          </w:tcPr>
          <w:p w:rsidR="00BA5354" w:rsidRDefault="00BA5354" w:rsidP="00BA5354">
            <w:pPr>
              <w:pStyle w:val="Heading5"/>
            </w:pPr>
            <w:r>
              <w:t>Helpful Reconciling Tips</w:t>
            </w:r>
          </w:p>
        </w:tc>
        <w:tc>
          <w:tcPr>
            <w:tcW w:w="8730" w:type="dxa"/>
          </w:tcPr>
          <w:p w:rsidR="00BA5354" w:rsidRDefault="00324CFF" w:rsidP="00324CFF">
            <w:pPr>
              <w:pStyle w:val="BlockText"/>
              <w:numPr>
                <w:ilvl w:val="0"/>
                <w:numId w:val="15"/>
              </w:numPr>
              <w:tabs>
                <w:tab w:val="left" w:pos="4554"/>
              </w:tabs>
            </w:pPr>
            <w:r>
              <w:t>Differences between the Quarterly Control Totals and the U092/Report 56?</w:t>
            </w:r>
          </w:p>
          <w:p w:rsidR="00730385" w:rsidRDefault="00324CFF" w:rsidP="00730385">
            <w:pPr>
              <w:pStyle w:val="BlockText"/>
              <w:numPr>
                <w:ilvl w:val="1"/>
                <w:numId w:val="15"/>
              </w:numPr>
              <w:tabs>
                <w:tab w:val="left" w:pos="4554"/>
              </w:tabs>
            </w:pPr>
            <w:r>
              <w:t xml:space="preserve">Look for deleted manual </w:t>
            </w:r>
            <w:proofErr w:type="spellStart"/>
            <w:r>
              <w:t>paysets</w:t>
            </w:r>
            <w:proofErr w:type="spellEnd"/>
            <w:r>
              <w:t>.  Agencies shou</w:t>
            </w:r>
            <w:r w:rsidR="006D21F6">
              <w:t xml:space="preserve">ld never delete a manual </w:t>
            </w:r>
            <w:proofErr w:type="spellStart"/>
            <w:r w:rsidR="006D21F6">
              <w:t>payset</w:t>
            </w:r>
            <w:proofErr w:type="spellEnd"/>
            <w:r w:rsidR="006D21F6">
              <w:t>;</w:t>
            </w:r>
            <w:r>
              <w:t xml:space="preserve"> they </w:t>
            </w:r>
            <w:proofErr w:type="gramStart"/>
            <w:r>
              <w:t>must be reversed</w:t>
            </w:r>
            <w:proofErr w:type="gramEnd"/>
            <w:r>
              <w:t xml:space="preserve">.  </w:t>
            </w:r>
            <w:r w:rsidR="006D21F6">
              <w:t>Review Report 1007 (Deleted Pending)</w:t>
            </w:r>
            <w:r w:rsidR="00C52C43">
              <w:t xml:space="preserve"> for the quarter</w:t>
            </w:r>
            <w:r w:rsidR="006D21F6">
              <w:t xml:space="preserve"> to </w:t>
            </w:r>
            <w:r w:rsidR="00730385">
              <w:t xml:space="preserve">find </w:t>
            </w:r>
            <w:r w:rsidR="006D21F6">
              <w:t xml:space="preserve">deleted </w:t>
            </w:r>
            <w:r w:rsidR="00730385">
              <w:t xml:space="preserve">manual </w:t>
            </w:r>
            <w:proofErr w:type="spellStart"/>
            <w:r w:rsidR="00730385">
              <w:t>payset</w:t>
            </w:r>
            <w:r w:rsidR="00C52C43">
              <w:t>s</w:t>
            </w:r>
            <w:proofErr w:type="spellEnd"/>
            <w:r w:rsidR="00C52C43">
              <w:t xml:space="preserve"> (transaction codes that start with 4, 5 or 6)</w:t>
            </w:r>
            <w:r w:rsidR="006D21F6">
              <w:t xml:space="preserve">.  Line agencies must use the Report 1006 (Change Listing) </w:t>
            </w:r>
            <w:r w:rsidR="00C52C43">
              <w:t xml:space="preserve">from the </w:t>
            </w:r>
            <w:proofErr w:type="gramStart"/>
            <w:r w:rsidR="00C52C43">
              <w:t>night</w:t>
            </w:r>
            <w:proofErr w:type="gramEnd"/>
            <w:r w:rsidR="00C52C43">
              <w:t xml:space="preserve"> the manual </w:t>
            </w:r>
            <w:proofErr w:type="spellStart"/>
            <w:r w:rsidR="00C52C43">
              <w:t>payset</w:t>
            </w:r>
            <w:proofErr w:type="spellEnd"/>
            <w:r w:rsidR="00C52C43">
              <w:t xml:space="preserve"> was keyed </w:t>
            </w:r>
            <w:r w:rsidR="006D21F6">
              <w:t xml:space="preserve">to enter the </w:t>
            </w:r>
            <w:r w:rsidR="00730385">
              <w:t xml:space="preserve">missing </w:t>
            </w:r>
            <w:r w:rsidR="006D21F6">
              <w:t xml:space="preserve">amount of the change as an adjustment on the </w:t>
            </w:r>
            <w:r w:rsidR="0018756F">
              <w:t xml:space="preserve">PAT </w:t>
            </w:r>
            <w:r w:rsidR="006D21F6">
              <w:t xml:space="preserve">Quarterly Control totals.  </w:t>
            </w:r>
          </w:p>
          <w:p w:rsidR="00324CFF" w:rsidRDefault="00730385" w:rsidP="00730385">
            <w:pPr>
              <w:pStyle w:val="BlockText"/>
              <w:numPr>
                <w:ilvl w:val="1"/>
                <w:numId w:val="15"/>
              </w:numPr>
              <w:tabs>
                <w:tab w:val="left" w:pos="4554"/>
              </w:tabs>
            </w:pPr>
            <w:r>
              <w:t xml:space="preserve">Review H1K01/H1K02/H1K03 for manual </w:t>
            </w:r>
            <w:proofErr w:type="spellStart"/>
            <w:r>
              <w:t>payset</w:t>
            </w:r>
            <w:proofErr w:type="spellEnd"/>
            <w:r>
              <w:t xml:space="preserve"> transactions that are stuck in pending (transactions beginning with </w:t>
            </w:r>
            <w:proofErr w:type="gramStart"/>
            <w:r>
              <w:t>4</w:t>
            </w:r>
            <w:proofErr w:type="gramEnd"/>
            <w:r>
              <w:t xml:space="preserve">, 5 or 6).  To clear the item from the pending file, re-activate the employee on H0BES.  You may need a penny to process the </w:t>
            </w:r>
            <w:r w:rsidR="00BE141E">
              <w:t xml:space="preserve">manual </w:t>
            </w:r>
            <w:proofErr w:type="spellStart"/>
            <w:r w:rsidR="00BE141E">
              <w:t>payset</w:t>
            </w:r>
            <w:proofErr w:type="spellEnd"/>
            <w:r>
              <w:t xml:space="preserve">.   In some cases, the manual </w:t>
            </w:r>
            <w:proofErr w:type="spellStart"/>
            <w:r>
              <w:t>payset</w:t>
            </w:r>
            <w:proofErr w:type="spellEnd"/>
            <w:r>
              <w:t xml:space="preserve"> </w:t>
            </w:r>
            <w:r w:rsidR="00BE141E">
              <w:t xml:space="preserve">may need to be “reversed” </w:t>
            </w:r>
            <w:r>
              <w:t xml:space="preserve">to clear it from pending (key the opposite of what was originally keyed). </w:t>
            </w:r>
            <w:r w:rsidR="006D21F6">
              <w:t xml:space="preserve">If the manual </w:t>
            </w:r>
            <w:proofErr w:type="spellStart"/>
            <w:r w:rsidR="006D21F6">
              <w:t>payset</w:t>
            </w:r>
            <w:proofErr w:type="spellEnd"/>
            <w:r w:rsidR="006D21F6">
              <w:t xml:space="preserve"> is in pending and will process in the following quarter, the agency must key an adjustment to balance</w:t>
            </w:r>
            <w:r w:rsidR="00C52C43">
              <w:t xml:space="preserve"> the current quarter</w:t>
            </w:r>
            <w:r w:rsidR="006D21F6">
              <w:t xml:space="preserve">.  This adjustment </w:t>
            </w:r>
            <w:proofErr w:type="gramStart"/>
            <w:r w:rsidR="006D21F6">
              <w:t>can be deleted</w:t>
            </w:r>
            <w:proofErr w:type="gramEnd"/>
            <w:r w:rsidR="006D21F6">
              <w:t xml:space="preserve"> </w:t>
            </w:r>
            <w:r>
              <w:t xml:space="preserve">in a future quarter </w:t>
            </w:r>
            <w:r w:rsidR="00C028F1">
              <w:t xml:space="preserve">after the manual </w:t>
            </w:r>
            <w:proofErr w:type="spellStart"/>
            <w:r w:rsidR="00C028F1">
              <w:t>payset</w:t>
            </w:r>
            <w:proofErr w:type="spellEnd"/>
            <w:r w:rsidR="00C028F1">
              <w:t xml:space="preserve"> processes.</w:t>
            </w:r>
          </w:p>
          <w:p w:rsidR="00730385" w:rsidRDefault="002311E6" w:rsidP="00AA7114">
            <w:pPr>
              <w:pStyle w:val="BlockText"/>
              <w:numPr>
                <w:ilvl w:val="1"/>
                <w:numId w:val="15"/>
              </w:numPr>
              <w:tabs>
                <w:tab w:val="left" w:pos="4554"/>
              </w:tabs>
            </w:pPr>
            <w:r>
              <w:t>Manual a</w:t>
            </w:r>
            <w:r w:rsidR="00AA7114">
              <w:t xml:space="preserve">djustments sent to SPO to key </w:t>
            </w:r>
            <w:proofErr w:type="gramStart"/>
            <w:r w:rsidR="00AA7114">
              <w:t>must be entered</w:t>
            </w:r>
            <w:proofErr w:type="gramEnd"/>
            <w:r w:rsidR="00AA7114">
              <w:t xml:space="preserve"> as an adjustment to the Quarterly Control Totals.  Anytime that SPO updates the tax accumulators without a manual </w:t>
            </w:r>
            <w:proofErr w:type="spellStart"/>
            <w:r w:rsidR="00AA7114">
              <w:t>payset</w:t>
            </w:r>
            <w:proofErr w:type="spellEnd"/>
            <w:r w:rsidR="00AA7114">
              <w:t xml:space="preserve">, the item </w:t>
            </w:r>
            <w:proofErr w:type="gramStart"/>
            <w:r w:rsidR="00AA7114">
              <w:t>is processed</w:t>
            </w:r>
            <w:proofErr w:type="gramEnd"/>
            <w:r w:rsidR="00AA7114">
              <w:t xml:space="preserve"> outside of the normal </w:t>
            </w:r>
            <w:proofErr w:type="spellStart"/>
            <w:r w:rsidR="00AA7114">
              <w:t>payrun</w:t>
            </w:r>
            <w:proofErr w:type="spellEnd"/>
            <w:r w:rsidR="00AA7114">
              <w:t xml:space="preserve"> and is not a part of the Report 33 totals.  Review the forms that </w:t>
            </w:r>
            <w:proofErr w:type="gramStart"/>
            <w:r w:rsidR="00AA7114">
              <w:t>were submitted</w:t>
            </w:r>
            <w:proofErr w:type="gramEnd"/>
            <w:r w:rsidR="00AA7114">
              <w:t xml:space="preserve"> to SPO during the quarter.  </w:t>
            </w:r>
          </w:p>
          <w:p w:rsidR="00AA7114" w:rsidRDefault="00AA7114" w:rsidP="00AA7114">
            <w:pPr>
              <w:pStyle w:val="BlockText"/>
              <w:numPr>
                <w:ilvl w:val="1"/>
                <w:numId w:val="15"/>
              </w:numPr>
              <w:tabs>
                <w:tab w:val="left" w:pos="4554"/>
              </w:tabs>
            </w:pPr>
            <w:r>
              <w:t xml:space="preserve">Special payrolls that </w:t>
            </w:r>
            <w:proofErr w:type="gramStart"/>
            <w:r>
              <w:t>are processed</w:t>
            </w:r>
            <w:proofErr w:type="gramEnd"/>
            <w:r>
              <w:t xml:space="preserve"> in the final days of the quarter with a check date in the next quarter can cause these totals to be out of balance.  When this occurs, the </w:t>
            </w:r>
            <w:r w:rsidRPr="00507839">
              <w:t>agency should enter the extra payroll as an adjustment</w:t>
            </w:r>
            <w:r w:rsidR="001549A7" w:rsidRPr="00507839">
              <w:t xml:space="preserve"> to reduce the totals</w:t>
            </w:r>
            <w:r w:rsidRPr="00507839">
              <w:t>.</w:t>
            </w:r>
            <w:r>
              <w:t xml:space="preserve">  This adjustment </w:t>
            </w:r>
            <w:proofErr w:type="gramStart"/>
            <w:r>
              <w:t>can be deleted</w:t>
            </w:r>
            <w:proofErr w:type="gramEnd"/>
            <w:r>
              <w:t xml:space="preserve"> in the next quarter.  To avoid this issue, print the Quarterly Control Totals the day after all checks for the quarter </w:t>
            </w:r>
            <w:proofErr w:type="gramStart"/>
            <w:r>
              <w:t>have been certified</w:t>
            </w:r>
            <w:proofErr w:type="gramEnd"/>
            <w:r>
              <w:t>.</w:t>
            </w:r>
          </w:p>
        </w:tc>
      </w:tr>
      <w:tr w:rsidR="00324CFF" w:rsidTr="00BF28D8">
        <w:trPr>
          <w:cantSplit/>
        </w:trPr>
        <w:tc>
          <w:tcPr>
            <w:tcW w:w="1458" w:type="dxa"/>
          </w:tcPr>
          <w:p w:rsidR="00324CFF" w:rsidRDefault="00324CFF" w:rsidP="00BA5354">
            <w:pPr>
              <w:pStyle w:val="Heading5"/>
            </w:pPr>
          </w:p>
        </w:tc>
        <w:tc>
          <w:tcPr>
            <w:tcW w:w="8730" w:type="dxa"/>
          </w:tcPr>
          <w:p w:rsidR="00324CFF" w:rsidRDefault="00AA7114" w:rsidP="00324CFF">
            <w:pPr>
              <w:pStyle w:val="BlockText"/>
              <w:numPr>
                <w:ilvl w:val="0"/>
                <w:numId w:val="15"/>
              </w:numPr>
              <w:tabs>
                <w:tab w:val="left" w:pos="4554"/>
              </w:tabs>
            </w:pPr>
            <w:r>
              <w:t>Differences Between Federal and State Taxable Income</w:t>
            </w:r>
          </w:p>
          <w:p w:rsidR="00AA7114" w:rsidRDefault="00AA7114" w:rsidP="00A77F66">
            <w:pPr>
              <w:pStyle w:val="BlockText"/>
              <w:numPr>
                <w:ilvl w:val="1"/>
                <w:numId w:val="15"/>
              </w:numPr>
              <w:tabs>
                <w:tab w:val="left" w:pos="4554"/>
              </w:tabs>
            </w:pPr>
            <w:r>
              <w:t xml:space="preserve">If the employee lives and works in a state that has different tax rules, the differences are valid.  Use Report U093 to identify the employees that have a difference between Federal and State Taxable Income.  If the employee lives and works in a state listed on the “Federal to State Taxable Recon” tab, type the difference into the table </w:t>
            </w:r>
            <w:r w:rsidR="00A77F66">
              <w:t>on that tab</w:t>
            </w:r>
            <w:r>
              <w:t xml:space="preserve"> to validate the amounts.  </w:t>
            </w:r>
            <w:r w:rsidR="00C5641D">
              <w:t>In addition, agencies can download the Federal and State taxable income amounts from PAT (Payroll Audit Tool) into an Excel spreadsheet to find exceptions.</w:t>
            </w:r>
          </w:p>
        </w:tc>
      </w:tr>
      <w:tr w:rsidR="00AA7114" w:rsidTr="00BF28D8">
        <w:trPr>
          <w:cantSplit/>
        </w:trPr>
        <w:tc>
          <w:tcPr>
            <w:tcW w:w="1458" w:type="dxa"/>
          </w:tcPr>
          <w:p w:rsidR="00AA7114" w:rsidRDefault="00AA7114" w:rsidP="00BA5354">
            <w:pPr>
              <w:pStyle w:val="Heading5"/>
            </w:pPr>
          </w:p>
        </w:tc>
        <w:tc>
          <w:tcPr>
            <w:tcW w:w="8730" w:type="dxa"/>
          </w:tcPr>
          <w:p w:rsidR="00AA7114" w:rsidRDefault="00C5641D" w:rsidP="00324CFF">
            <w:pPr>
              <w:pStyle w:val="BlockText"/>
              <w:numPr>
                <w:ilvl w:val="0"/>
                <w:numId w:val="15"/>
              </w:numPr>
              <w:tabs>
                <w:tab w:val="left" w:pos="4554"/>
              </w:tabs>
            </w:pPr>
            <w:r>
              <w:t>Differences Between Federal Non-Taxable and YTD SP 054</w:t>
            </w:r>
          </w:p>
          <w:p w:rsidR="00C5641D" w:rsidRDefault="00C5641D" w:rsidP="00960A83">
            <w:pPr>
              <w:pStyle w:val="BlockText"/>
              <w:numPr>
                <w:ilvl w:val="1"/>
                <w:numId w:val="15"/>
              </w:numPr>
              <w:tabs>
                <w:tab w:val="left" w:pos="4554"/>
              </w:tabs>
            </w:pPr>
            <w:r>
              <w:t xml:space="preserve">At the end of the calendar year, any amounts in </w:t>
            </w:r>
            <w:r w:rsidR="00960A83">
              <w:t>f</w:t>
            </w:r>
            <w:r>
              <w:t xml:space="preserve">ederal </w:t>
            </w:r>
            <w:r w:rsidR="00960A83">
              <w:t>n</w:t>
            </w:r>
            <w:r>
              <w:t>on-</w:t>
            </w:r>
            <w:r w:rsidR="00960A83">
              <w:t>t</w:t>
            </w:r>
            <w:r>
              <w:t xml:space="preserve">axable will automatically merge into the Federal Taxable field unless </w:t>
            </w:r>
            <w:r w:rsidR="000148D1">
              <w:t xml:space="preserve">the </w:t>
            </w:r>
            <w:r>
              <w:t xml:space="preserve">amount resulted from SP 054 – Deceased Pay Current.  Therefore, the only valid amount in the </w:t>
            </w:r>
            <w:r w:rsidR="00960A83">
              <w:t>f</w:t>
            </w:r>
            <w:r>
              <w:t xml:space="preserve">ederal </w:t>
            </w:r>
            <w:r w:rsidR="00960A83">
              <w:t>n</w:t>
            </w:r>
            <w:r>
              <w:t>on-</w:t>
            </w:r>
            <w:r w:rsidR="00960A83">
              <w:t>t</w:t>
            </w:r>
            <w:r>
              <w:t xml:space="preserve">axable </w:t>
            </w:r>
            <w:r w:rsidR="000148D1">
              <w:t xml:space="preserve">field </w:t>
            </w:r>
            <w:r>
              <w:t xml:space="preserve">should be SP 054.  Invalid amounts of </w:t>
            </w:r>
            <w:r w:rsidR="00960A83">
              <w:t>f</w:t>
            </w:r>
            <w:r>
              <w:t xml:space="preserve">ederal </w:t>
            </w:r>
            <w:r w:rsidR="00960A83">
              <w:t>n</w:t>
            </w:r>
            <w:r>
              <w:t>on-</w:t>
            </w:r>
            <w:r w:rsidR="00960A83">
              <w:t>t</w:t>
            </w:r>
            <w:r>
              <w:t xml:space="preserve">axable income </w:t>
            </w:r>
            <w:proofErr w:type="gramStart"/>
            <w:r>
              <w:t>can be viewed</w:t>
            </w:r>
            <w:proofErr w:type="gramEnd"/>
            <w:r>
              <w:t xml:space="preserve"> on Report U093.</w:t>
            </w:r>
          </w:p>
        </w:tc>
      </w:tr>
      <w:tr w:rsidR="00C5641D" w:rsidTr="00BF28D8">
        <w:trPr>
          <w:cantSplit/>
        </w:trPr>
        <w:tc>
          <w:tcPr>
            <w:tcW w:w="1458" w:type="dxa"/>
          </w:tcPr>
          <w:p w:rsidR="00C5641D" w:rsidRDefault="00C5641D" w:rsidP="00BA5354">
            <w:pPr>
              <w:pStyle w:val="Heading5"/>
            </w:pPr>
          </w:p>
        </w:tc>
        <w:tc>
          <w:tcPr>
            <w:tcW w:w="8730" w:type="dxa"/>
          </w:tcPr>
          <w:p w:rsidR="00C5641D" w:rsidRDefault="00C5641D" w:rsidP="00C5641D">
            <w:pPr>
              <w:pStyle w:val="BlockText"/>
              <w:tabs>
                <w:tab w:val="left" w:pos="4554"/>
              </w:tabs>
              <w:ind w:left="720"/>
            </w:pPr>
          </w:p>
        </w:tc>
      </w:tr>
    </w:tbl>
    <w:p w:rsidR="00BA5354" w:rsidRDefault="00BA5354" w:rsidP="00BA5354">
      <w:pPr>
        <w:pStyle w:val="BlockLine"/>
        <w:ind w:left="1350"/>
        <w:rPr>
          <w:sz w:val="16"/>
          <w:szCs w:val="16"/>
        </w:rPr>
      </w:pPr>
    </w:p>
    <w:p w:rsidR="00C028F1" w:rsidRDefault="00C028F1" w:rsidP="00C5641D">
      <w:pPr>
        <w:pStyle w:val="NormalWeb"/>
        <w:rPr>
          <w:b/>
          <w:bCs/>
          <w:color w:val="000000"/>
          <w:sz w:val="28"/>
          <w:szCs w:val="28"/>
        </w:rPr>
      </w:pPr>
    </w:p>
    <w:p w:rsidR="00C5641D" w:rsidRPr="00BE032C" w:rsidRDefault="00C5641D" w:rsidP="00C5641D">
      <w:pPr>
        <w:pStyle w:val="NormalWeb"/>
        <w:rPr>
          <w:bCs/>
          <w:color w:val="000000"/>
          <w:sz w:val="28"/>
          <w:szCs w:val="28"/>
        </w:rPr>
      </w:pPr>
      <w:r>
        <w:rPr>
          <w:b/>
          <w:bCs/>
          <w:color w:val="000000"/>
          <w:sz w:val="28"/>
          <w:szCs w:val="28"/>
        </w:rPr>
        <w:lastRenderedPageBreak/>
        <w:t xml:space="preserve">New Quarterly Certification Procedures and Forms, </w:t>
      </w:r>
      <w:r>
        <w:rPr>
          <w:bCs/>
          <w:color w:val="000000"/>
          <w:sz w:val="28"/>
          <w:szCs w:val="28"/>
        </w:rPr>
        <w:t>continued</w:t>
      </w:r>
    </w:p>
    <w:p w:rsidR="00C5641D" w:rsidRDefault="00C5641D" w:rsidP="00C5641D">
      <w:pPr>
        <w:pStyle w:val="BlockLine"/>
        <w:ind w:left="1350"/>
        <w:rPr>
          <w:sz w:val="16"/>
          <w:szCs w:val="16"/>
        </w:rPr>
      </w:pPr>
    </w:p>
    <w:tbl>
      <w:tblPr>
        <w:tblW w:w="10188" w:type="dxa"/>
        <w:tblLayout w:type="fixed"/>
        <w:tblLook w:val="0000" w:firstRow="0" w:lastRow="0" w:firstColumn="0" w:lastColumn="0" w:noHBand="0" w:noVBand="0"/>
      </w:tblPr>
      <w:tblGrid>
        <w:gridCol w:w="1458"/>
        <w:gridCol w:w="8730"/>
      </w:tblGrid>
      <w:tr w:rsidR="00C5641D" w:rsidTr="00C5641D">
        <w:trPr>
          <w:cantSplit/>
        </w:trPr>
        <w:tc>
          <w:tcPr>
            <w:tcW w:w="1458" w:type="dxa"/>
          </w:tcPr>
          <w:p w:rsidR="00C5641D" w:rsidRDefault="00C5641D" w:rsidP="00412C0C">
            <w:pPr>
              <w:pStyle w:val="Heading5"/>
            </w:pPr>
            <w:r>
              <w:t>Helpful Reconciling Tips, continued</w:t>
            </w:r>
          </w:p>
        </w:tc>
        <w:tc>
          <w:tcPr>
            <w:tcW w:w="8730" w:type="dxa"/>
          </w:tcPr>
          <w:p w:rsidR="00C5641D" w:rsidRDefault="00C5641D" w:rsidP="00C5641D">
            <w:pPr>
              <w:pStyle w:val="BlockText"/>
              <w:numPr>
                <w:ilvl w:val="0"/>
                <w:numId w:val="17"/>
              </w:numPr>
              <w:tabs>
                <w:tab w:val="left" w:pos="4554"/>
              </w:tabs>
            </w:pPr>
            <w:r>
              <w:t>Differences Between OASDI</w:t>
            </w:r>
            <w:r w:rsidR="00112EA6">
              <w:t>/HI</w:t>
            </w:r>
            <w:r>
              <w:t xml:space="preserve"> Tax Amounts?</w:t>
            </w:r>
          </w:p>
          <w:p w:rsidR="00112EA6" w:rsidRDefault="00C5641D" w:rsidP="0057271F">
            <w:pPr>
              <w:pStyle w:val="BlockText"/>
              <w:numPr>
                <w:ilvl w:val="1"/>
                <w:numId w:val="17"/>
              </w:numPr>
              <w:tabs>
                <w:tab w:val="left" w:pos="4554"/>
              </w:tabs>
            </w:pPr>
            <w:r>
              <w:t>Use Report 844</w:t>
            </w:r>
            <w:r w:rsidR="00112EA6">
              <w:t xml:space="preserve"> </w:t>
            </w:r>
            <w:r>
              <w:t xml:space="preserve">to review differences between </w:t>
            </w:r>
            <w:r w:rsidR="0057271F">
              <w:t xml:space="preserve">the Employee OASDI Tax Withheld and the Employer </w:t>
            </w:r>
            <w:r w:rsidR="00112EA6">
              <w:t xml:space="preserve">OASDI </w:t>
            </w:r>
            <w:r w:rsidR="0057271F">
              <w:t>Tax Withheld.  The Employee and Employer OASDI Tax amounts should be the same</w:t>
            </w:r>
            <w:r w:rsidR="00514C84">
              <w:t>.</w:t>
            </w:r>
            <w:r w:rsidR="00112EA6">
              <w:t xml:space="preserve">  </w:t>
            </w:r>
          </w:p>
          <w:p w:rsidR="00514C84" w:rsidRDefault="00112EA6" w:rsidP="0057271F">
            <w:pPr>
              <w:pStyle w:val="BlockText"/>
              <w:numPr>
                <w:ilvl w:val="1"/>
                <w:numId w:val="17"/>
              </w:numPr>
              <w:tabs>
                <w:tab w:val="left" w:pos="4554"/>
              </w:tabs>
            </w:pPr>
            <w:r>
              <w:t xml:space="preserve">Use Report 848 to review differences between the Employee HI Tax and the Employer HI Tax.  The Employee and Employer HI Tax can have a valid difference if the employee has HI taxable income greater than 200,000.  The extra .9% </w:t>
            </w:r>
            <w:r w:rsidR="00AA324A">
              <w:t>s</w:t>
            </w:r>
            <w:r>
              <w:t>urtax should be the only difference between the two.</w:t>
            </w:r>
          </w:p>
          <w:p w:rsidR="00C5641D" w:rsidRDefault="00514C84" w:rsidP="00AA324A">
            <w:pPr>
              <w:pStyle w:val="BlockText"/>
              <w:numPr>
                <w:ilvl w:val="2"/>
                <w:numId w:val="17"/>
              </w:numPr>
              <w:tabs>
                <w:tab w:val="left" w:pos="4554"/>
              </w:tabs>
            </w:pPr>
            <w:r>
              <w:t>If the employee OASDI</w:t>
            </w:r>
            <w:r w:rsidR="00112EA6">
              <w:t>/HI</w:t>
            </w:r>
            <w:r>
              <w:t xml:space="preserve"> Tax is less than the employer OASDI</w:t>
            </w:r>
            <w:r w:rsidR="00112EA6">
              <w:t>/HI</w:t>
            </w:r>
            <w:r>
              <w:t xml:space="preserve"> </w:t>
            </w:r>
            <w:proofErr w:type="gramStart"/>
            <w:r>
              <w:t>Tax</w:t>
            </w:r>
            <w:proofErr w:type="gramEnd"/>
            <w:r>
              <w:t>,</w:t>
            </w:r>
            <w:r w:rsidR="0057271F">
              <w:t xml:space="preserve"> </w:t>
            </w:r>
            <w:r>
              <w:t>the employee owes tax.</w:t>
            </w:r>
            <w:r w:rsidR="00AA324A">
              <w:t xml:space="preserve"> The ONLY VALID REASON for uncollected OASDI/HI taxes</w:t>
            </w:r>
            <w:r>
              <w:t xml:space="preserve"> </w:t>
            </w:r>
            <w:r w:rsidR="00AA324A">
              <w:t xml:space="preserve">is when </w:t>
            </w:r>
            <w:r w:rsidR="0057271F">
              <w:t>the employee has uncollected OASDI</w:t>
            </w:r>
            <w:r w:rsidR="00112EA6">
              <w:t>/HI</w:t>
            </w:r>
            <w:r w:rsidR="0057271F">
              <w:t xml:space="preserve"> </w:t>
            </w:r>
            <w:proofErr w:type="gramStart"/>
            <w:r w:rsidR="0057271F">
              <w:t>as a result</w:t>
            </w:r>
            <w:proofErr w:type="gramEnd"/>
            <w:r w:rsidR="0057271F">
              <w:t xml:space="preserve"> of Imputed Life </w:t>
            </w:r>
            <w:r>
              <w:t>w</w:t>
            </w:r>
            <w:r w:rsidR="0057271F">
              <w:t xml:space="preserve">hile on LWOP.  If the employee </w:t>
            </w:r>
            <w:r>
              <w:t>owes OASDI</w:t>
            </w:r>
            <w:r w:rsidR="00112EA6">
              <w:t>/HI</w:t>
            </w:r>
            <w:r>
              <w:t xml:space="preserve"> for any other reason consider the following:</w:t>
            </w:r>
          </w:p>
          <w:p w:rsidR="00514C84" w:rsidRDefault="00514C84" w:rsidP="00514C84">
            <w:pPr>
              <w:pStyle w:val="BlockText"/>
              <w:numPr>
                <w:ilvl w:val="3"/>
                <w:numId w:val="17"/>
              </w:numPr>
              <w:tabs>
                <w:tab w:val="left" w:pos="4554"/>
              </w:tabs>
            </w:pPr>
            <w:r>
              <w:t>If the agency believes the employee will receive pay before the end of the year, leave the uncollected amount as is.  The next time the employee receives pay the system will self</w:t>
            </w:r>
            <w:r w:rsidR="00AA324A">
              <w:t>-</w:t>
            </w:r>
            <w:r>
              <w:t>adjust and collect the amount automatically.</w:t>
            </w:r>
          </w:p>
          <w:p w:rsidR="00514C84" w:rsidRDefault="00514C84" w:rsidP="00F4686A">
            <w:pPr>
              <w:pStyle w:val="BlockText"/>
              <w:numPr>
                <w:ilvl w:val="3"/>
                <w:numId w:val="17"/>
              </w:numPr>
              <w:tabs>
                <w:tab w:val="left" w:pos="4554"/>
              </w:tabs>
            </w:pPr>
            <w:r>
              <w:t xml:space="preserve">If the employee will not receive any future payments, the agency must pay on behalf of the employee.  Refer to the </w:t>
            </w:r>
            <w:hyperlink r:id="rId13" w:history="1">
              <w:r w:rsidRPr="00514C84">
                <w:rPr>
                  <w:rStyle w:val="Hyperlink"/>
                </w:rPr>
                <w:t>Advanced Masterfile Maintenance Handout</w:t>
              </w:r>
            </w:hyperlink>
            <w:r>
              <w:t xml:space="preserve"> on </w:t>
            </w:r>
            <w:r w:rsidR="00AA324A">
              <w:t>the</w:t>
            </w:r>
            <w:r>
              <w:t xml:space="preserve"> website.   Process an HTQTA transaction to reduce net pay and increase the OASDI</w:t>
            </w:r>
            <w:r w:rsidR="00112EA6">
              <w:t>/HI</w:t>
            </w:r>
            <w:r>
              <w:t xml:space="preserve"> Tax.  The employee still owes the agency.  </w:t>
            </w:r>
            <w:r w:rsidRPr="00F4686A">
              <w:rPr>
                <w:b/>
              </w:rPr>
              <w:t>LINE AGENCIES MUST PERFORM DUE DILIGENCE TO COLLECT THIS AMOUNT FROM THE EMPLOYEE</w:t>
            </w:r>
            <w:r>
              <w:t xml:space="preserve">.  As discussed in the handout, if the employee does not </w:t>
            </w:r>
            <w:r w:rsidR="00AA324A">
              <w:t xml:space="preserve">reimburse </w:t>
            </w:r>
            <w:r>
              <w:t xml:space="preserve">the agency, the amount paid on behalf of the employee also becomes </w:t>
            </w:r>
            <w:r w:rsidR="00F4686A">
              <w:t>taxable</w:t>
            </w:r>
            <w:r>
              <w:t xml:space="preserve">.  Agencies must perform the calculation discussed in the handout and key a transaction to Special Pay 071 </w:t>
            </w:r>
            <w:r w:rsidR="00F4686A">
              <w:t>ER Paid TAX</w:t>
            </w:r>
            <w:r>
              <w:t>.  This will result in more OASDI</w:t>
            </w:r>
            <w:r w:rsidR="00112EA6">
              <w:t>/HI</w:t>
            </w:r>
            <w:r>
              <w:t xml:space="preserve"> Tax</w:t>
            </w:r>
            <w:r w:rsidR="00F4686A">
              <w:t xml:space="preserve"> owed by the employee</w:t>
            </w:r>
            <w:r>
              <w:t>, please follow the instructions carefully to record these amounts properly in CIPPS.</w:t>
            </w:r>
          </w:p>
          <w:p w:rsidR="0064011D" w:rsidRDefault="00112EA6" w:rsidP="00AA324A">
            <w:pPr>
              <w:pStyle w:val="BlockText"/>
              <w:numPr>
                <w:ilvl w:val="2"/>
                <w:numId w:val="17"/>
              </w:numPr>
              <w:tabs>
                <w:tab w:val="left" w:pos="4554"/>
              </w:tabs>
            </w:pPr>
            <w:r>
              <w:t xml:space="preserve">If the employee OASDI/HI Tax is greater than the employer OASDI/HI </w:t>
            </w:r>
            <w:proofErr w:type="gramStart"/>
            <w:r>
              <w:t>Tax</w:t>
            </w:r>
            <w:proofErr w:type="gramEnd"/>
            <w:r>
              <w:t xml:space="preserve">, the employee is due a refund.  This can occur when an agency performs a reclassification to non-taxable income and terminates the employee too soon.  The </w:t>
            </w:r>
            <w:r w:rsidR="0064011D">
              <w:t xml:space="preserve">system will automatically refund OASDI/HI when the employee is actively receiving regular pay.  The refund will not attach to a special pay unless </w:t>
            </w:r>
            <w:r w:rsidR="00AA324A">
              <w:t xml:space="preserve">the special pay </w:t>
            </w:r>
            <w:proofErr w:type="gramStart"/>
            <w:r w:rsidR="00AA324A">
              <w:t xml:space="preserve">is </w:t>
            </w:r>
            <w:r w:rsidR="0064011D">
              <w:t>process</w:t>
            </w:r>
            <w:r w:rsidR="00AA324A">
              <w:t>ed</w:t>
            </w:r>
            <w:proofErr w:type="gramEnd"/>
            <w:r w:rsidR="0064011D">
              <w:t xml:space="preserve"> on HUC01 as a “7XX” transaction.</w:t>
            </w:r>
          </w:p>
        </w:tc>
      </w:tr>
    </w:tbl>
    <w:p w:rsidR="002A436C" w:rsidRDefault="002A436C" w:rsidP="002A436C">
      <w:pPr>
        <w:pStyle w:val="BlockLine"/>
        <w:ind w:left="1350"/>
        <w:rPr>
          <w:sz w:val="16"/>
          <w:szCs w:val="16"/>
        </w:rPr>
      </w:pPr>
    </w:p>
    <w:p w:rsidR="00A21A52" w:rsidRDefault="00A21A52" w:rsidP="00A21A52"/>
    <w:p w:rsidR="000B399D" w:rsidRDefault="000B399D" w:rsidP="000B399D">
      <w:pPr>
        <w:pStyle w:val="NormalWeb"/>
        <w:rPr>
          <w:b/>
          <w:bCs/>
          <w:color w:val="000000"/>
          <w:sz w:val="28"/>
          <w:szCs w:val="28"/>
        </w:rPr>
      </w:pPr>
    </w:p>
    <w:p w:rsidR="00711A65" w:rsidRPr="00BE032C" w:rsidRDefault="00711A65" w:rsidP="00711A65">
      <w:pPr>
        <w:pStyle w:val="NormalWeb"/>
        <w:rPr>
          <w:bCs/>
          <w:color w:val="000000"/>
          <w:sz w:val="28"/>
          <w:szCs w:val="28"/>
        </w:rPr>
      </w:pPr>
      <w:r>
        <w:rPr>
          <w:b/>
          <w:bCs/>
          <w:color w:val="000000"/>
          <w:sz w:val="28"/>
          <w:szCs w:val="28"/>
        </w:rPr>
        <w:lastRenderedPageBreak/>
        <w:t xml:space="preserve">New Quarterly Certification Procedures and Forms, </w:t>
      </w:r>
      <w:r>
        <w:rPr>
          <w:bCs/>
          <w:color w:val="000000"/>
          <w:sz w:val="28"/>
          <w:szCs w:val="28"/>
        </w:rPr>
        <w:t>continued</w:t>
      </w:r>
    </w:p>
    <w:p w:rsidR="00711A65" w:rsidRDefault="00711A65" w:rsidP="00711A65">
      <w:pPr>
        <w:pStyle w:val="BlockLine"/>
        <w:ind w:left="1350"/>
        <w:rPr>
          <w:sz w:val="16"/>
          <w:szCs w:val="16"/>
        </w:rPr>
      </w:pPr>
    </w:p>
    <w:tbl>
      <w:tblPr>
        <w:tblW w:w="10381" w:type="dxa"/>
        <w:tblLayout w:type="fixed"/>
        <w:tblLook w:val="0000" w:firstRow="0" w:lastRow="0" w:firstColumn="0" w:lastColumn="0" w:noHBand="0" w:noVBand="0"/>
      </w:tblPr>
      <w:tblGrid>
        <w:gridCol w:w="1485"/>
        <w:gridCol w:w="8896"/>
      </w:tblGrid>
      <w:tr w:rsidR="00711A65" w:rsidTr="000B58A4">
        <w:trPr>
          <w:cantSplit/>
          <w:trHeight w:val="2424"/>
        </w:trPr>
        <w:tc>
          <w:tcPr>
            <w:tcW w:w="1485" w:type="dxa"/>
          </w:tcPr>
          <w:p w:rsidR="00711A65" w:rsidRDefault="00711A65" w:rsidP="000B58A4">
            <w:pPr>
              <w:pStyle w:val="Heading5"/>
            </w:pPr>
            <w:r>
              <w:t>Proactive Recons</w:t>
            </w:r>
          </w:p>
        </w:tc>
        <w:tc>
          <w:tcPr>
            <w:tcW w:w="8896" w:type="dxa"/>
          </w:tcPr>
          <w:p w:rsidR="00711A65" w:rsidRDefault="00711A65" w:rsidP="000B58A4">
            <w:pPr>
              <w:pStyle w:val="BlockText"/>
              <w:tabs>
                <w:tab w:val="left" w:pos="4554"/>
              </w:tabs>
              <w:ind w:left="162"/>
              <w:rPr>
                <w:sz w:val="23"/>
                <w:szCs w:val="23"/>
              </w:rPr>
            </w:pPr>
            <w:r>
              <w:rPr>
                <w:sz w:val="23"/>
                <w:szCs w:val="23"/>
              </w:rPr>
              <w:t xml:space="preserve">The new Quarterly Certification spreadsheet </w:t>
            </w:r>
            <w:proofErr w:type="gramStart"/>
            <w:r>
              <w:rPr>
                <w:sz w:val="23"/>
                <w:szCs w:val="23"/>
              </w:rPr>
              <w:t>can be used</w:t>
            </w:r>
            <w:proofErr w:type="gramEnd"/>
            <w:r>
              <w:rPr>
                <w:sz w:val="23"/>
                <w:szCs w:val="23"/>
              </w:rPr>
              <w:t xml:space="preserve"> monthly to reconcile the Quarterly Control Totals in PAT to the Report U092.  Even without the Report 56 figures, agencies can us</w:t>
            </w:r>
            <w:r w:rsidR="00CE3B85">
              <w:rPr>
                <w:sz w:val="23"/>
                <w:szCs w:val="23"/>
              </w:rPr>
              <w:t>e</w:t>
            </w:r>
            <w:r>
              <w:rPr>
                <w:sz w:val="23"/>
                <w:szCs w:val="23"/>
              </w:rPr>
              <w:t xml:space="preserve"> the spreadsheet to quickly identify errors that may present an issue.</w:t>
            </w:r>
          </w:p>
          <w:p w:rsidR="00711A65" w:rsidRDefault="00711A65" w:rsidP="000B58A4">
            <w:pPr>
              <w:pStyle w:val="BlockText"/>
              <w:tabs>
                <w:tab w:val="left" w:pos="4554"/>
              </w:tabs>
              <w:ind w:left="162"/>
              <w:rPr>
                <w:sz w:val="23"/>
                <w:szCs w:val="23"/>
              </w:rPr>
            </w:pPr>
          </w:p>
          <w:p w:rsidR="00711A65" w:rsidRDefault="00711A65" w:rsidP="000B58A4">
            <w:pPr>
              <w:pStyle w:val="BlockText"/>
              <w:tabs>
                <w:tab w:val="left" w:pos="4554"/>
              </w:tabs>
              <w:ind w:left="162"/>
              <w:rPr>
                <w:sz w:val="23"/>
                <w:szCs w:val="23"/>
              </w:rPr>
            </w:pPr>
            <w:r>
              <w:rPr>
                <w:sz w:val="23"/>
                <w:szCs w:val="23"/>
              </w:rPr>
              <w:t xml:space="preserve">Agencies who proactively reconcile will be rewarded with an easier quarter and </w:t>
            </w:r>
            <w:proofErr w:type="gramStart"/>
            <w:r>
              <w:rPr>
                <w:sz w:val="23"/>
                <w:szCs w:val="23"/>
              </w:rPr>
              <w:t>year end</w:t>
            </w:r>
            <w:proofErr w:type="gramEnd"/>
            <w:r>
              <w:rPr>
                <w:sz w:val="23"/>
                <w:szCs w:val="23"/>
              </w:rPr>
              <w:t xml:space="preserve"> certification. </w:t>
            </w:r>
          </w:p>
          <w:p w:rsidR="00711A65" w:rsidRDefault="00711A65" w:rsidP="000B58A4">
            <w:pPr>
              <w:pStyle w:val="BlockText"/>
              <w:tabs>
                <w:tab w:val="left" w:pos="4554"/>
              </w:tabs>
              <w:ind w:left="162"/>
              <w:rPr>
                <w:sz w:val="23"/>
                <w:szCs w:val="23"/>
              </w:rPr>
            </w:pPr>
          </w:p>
          <w:p w:rsidR="00711A65" w:rsidRPr="004A017B" w:rsidRDefault="00711A65" w:rsidP="000B58A4">
            <w:pPr>
              <w:pStyle w:val="BlockText"/>
              <w:tabs>
                <w:tab w:val="left" w:pos="4554"/>
              </w:tabs>
              <w:ind w:left="162"/>
              <w:rPr>
                <w:sz w:val="23"/>
                <w:szCs w:val="23"/>
              </w:rPr>
            </w:pPr>
            <w:r>
              <w:rPr>
                <w:sz w:val="23"/>
                <w:szCs w:val="23"/>
              </w:rPr>
              <w:t>In addition, many payroll errors can be resolved earlier in the calendar year minimizing negative impacts to the employee.</w:t>
            </w:r>
          </w:p>
        </w:tc>
      </w:tr>
    </w:tbl>
    <w:p w:rsidR="00711A65" w:rsidRPr="00061AE5" w:rsidRDefault="00711A65" w:rsidP="00711A65">
      <w:pPr>
        <w:pStyle w:val="BlockLine"/>
        <w:ind w:left="1350"/>
        <w:rPr>
          <w:sz w:val="16"/>
          <w:szCs w:val="16"/>
        </w:rPr>
      </w:pPr>
      <w:r>
        <w:tab/>
      </w:r>
      <w:r>
        <w:tab/>
      </w:r>
    </w:p>
    <w:p w:rsidR="000B399D" w:rsidRPr="00BE032C" w:rsidRDefault="00850F11" w:rsidP="000B399D">
      <w:pPr>
        <w:pStyle w:val="NormalWeb"/>
        <w:rPr>
          <w:bCs/>
          <w:color w:val="000000"/>
          <w:sz w:val="28"/>
          <w:szCs w:val="28"/>
        </w:rPr>
      </w:pPr>
      <w:r>
        <w:rPr>
          <w:b/>
          <w:bCs/>
          <w:color w:val="000000"/>
          <w:sz w:val="28"/>
          <w:szCs w:val="28"/>
        </w:rPr>
        <w:t xml:space="preserve">New Special Pay Code </w:t>
      </w:r>
      <w:r w:rsidR="001B43BF">
        <w:rPr>
          <w:b/>
          <w:bCs/>
          <w:color w:val="000000"/>
          <w:sz w:val="28"/>
          <w:szCs w:val="28"/>
        </w:rPr>
        <w:t>f</w:t>
      </w:r>
      <w:r>
        <w:rPr>
          <w:b/>
          <w:bCs/>
          <w:color w:val="000000"/>
          <w:sz w:val="28"/>
          <w:szCs w:val="28"/>
        </w:rPr>
        <w:t>or Student Wages</w:t>
      </w:r>
    </w:p>
    <w:p w:rsidR="000B399D" w:rsidRDefault="000B399D" w:rsidP="000B399D">
      <w:pPr>
        <w:pStyle w:val="BlockLine"/>
        <w:ind w:left="1350"/>
        <w:rPr>
          <w:sz w:val="16"/>
          <w:szCs w:val="16"/>
        </w:rPr>
      </w:pPr>
    </w:p>
    <w:tbl>
      <w:tblPr>
        <w:tblW w:w="10381" w:type="dxa"/>
        <w:tblLayout w:type="fixed"/>
        <w:tblLook w:val="0000" w:firstRow="0" w:lastRow="0" w:firstColumn="0" w:lastColumn="0" w:noHBand="0" w:noVBand="0"/>
      </w:tblPr>
      <w:tblGrid>
        <w:gridCol w:w="1485"/>
        <w:gridCol w:w="8896"/>
      </w:tblGrid>
      <w:tr w:rsidR="000B399D" w:rsidTr="00412C0C">
        <w:trPr>
          <w:cantSplit/>
          <w:trHeight w:val="2424"/>
        </w:trPr>
        <w:tc>
          <w:tcPr>
            <w:tcW w:w="1485" w:type="dxa"/>
          </w:tcPr>
          <w:p w:rsidR="000B399D" w:rsidRDefault="000B399D" w:rsidP="004C732E">
            <w:pPr>
              <w:pStyle w:val="Heading5"/>
            </w:pPr>
            <w:r>
              <w:t xml:space="preserve">New Special Pay Code 091 </w:t>
            </w:r>
            <w:r w:rsidR="004C732E">
              <w:t>Work Study</w:t>
            </w:r>
            <w:r>
              <w:t xml:space="preserve"> W</w:t>
            </w:r>
            <w:r w:rsidR="004C732E">
              <w:t>ages</w:t>
            </w:r>
          </w:p>
        </w:tc>
        <w:tc>
          <w:tcPr>
            <w:tcW w:w="8896" w:type="dxa"/>
          </w:tcPr>
          <w:p w:rsidR="00075BBF" w:rsidRDefault="000B399D" w:rsidP="00075BBF">
            <w:pPr>
              <w:pStyle w:val="BlockText"/>
              <w:tabs>
                <w:tab w:val="left" w:pos="4554"/>
              </w:tabs>
              <w:ind w:left="162"/>
              <w:rPr>
                <w:sz w:val="23"/>
                <w:szCs w:val="23"/>
              </w:rPr>
            </w:pPr>
            <w:r>
              <w:rPr>
                <w:sz w:val="23"/>
                <w:szCs w:val="23"/>
              </w:rPr>
              <w:t xml:space="preserve">As stated </w:t>
            </w:r>
            <w:r w:rsidR="00E50392">
              <w:rPr>
                <w:sz w:val="23"/>
                <w:szCs w:val="23"/>
              </w:rPr>
              <w:t>in a previous section,</w:t>
            </w:r>
            <w:r>
              <w:rPr>
                <w:sz w:val="23"/>
                <w:szCs w:val="23"/>
              </w:rPr>
              <w:t xml:space="preserve"> </w:t>
            </w:r>
            <w:r w:rsidR="00E50392">
              <w:rPr>
                <w:sz w:val="23"/>
                <w:szCs w:val="23"/>
              </w:rPr>
              <w:t>Report</w:t>
            </w:r>
            <w:r>
              <w:rPr>
                <w:sz w:val="23"/>
                <w:szCs w:val="23"/>
              </w:rPr>
              <w:t xml:space="preserve"> U093 will print for every employee that has FICA Status “1”.  This is because the FICA </w:t>
            </w:r>
            <w:r w:rsidR="00E50392">
              <w:rPr>
                <w:sz w:val="23"/>
                <w:szCs w:val="23"/>
              </w:rPr>
              <w:t>s</w:t>
            </w:r>
            <w:r>
              <w:rPr>
                <w:sz w:val="23"/>
                <w:szCs w:val="23"/>
              </w:rPr>
              <w:t>tatus does not belong on the employee level</w:t>
            </w:r>
            <w:r w:rsidR="009C45C1">
              <w:rPr>
                <w:sz w:val="23"/>
                <w:szCs w:val="23"/>
              </w:rPr>
              <w:t xml:space="preserve">, but </w:t>
            </w:r>
            <w:proofErr w:type="gramStart"/>
            <w:r w:rsidR="009C45C1">
              <w:rPr>
                <w:sz w:val="23"/>
                <w:szCs w:val="23"/>
              </w:rPr>
              <w:t>should be based</w:t>
            </w:r>
            <w:proofErr w:type="gramEnd"/>
            <w:r w:rsidR="009C45C1">
              <w:rPr>
                <w:sz w:val="23"/>
                <w:szCs w:val="23"/>
              </w:rPr>
              <w:t xml:space="preserve"> on the type of wages being paid</w:t>
            </w:r>
            <w:r>
              <w:rPr>
                <w:sz w:val="23"/>
                <w:szCs w:val="23"/>
              </w:rPr>
              <w:t xml:space="preserve">.  Certain wages are FICA </w:t>
            </w:r>
            <w:r w:rsidR="00E50392">
              <w:rPr>
                <w:sz w:val="23"/>
                <w:szCs w:val="23"/>
              </w:rPr>
              <w:t>n</w:t>
            </w:r>
            <w:r>
              <w:rPr>
                <w:sz w:val="23"/>
                <w:szCs w:val="23"/>
              </w:rPr>
              <w:t>on-</w:t>
            </w:r>
            <w:r w:rsidR="00E50392">
              <w:rPr>
                <w:sz w:val="23"/>
                <w:szCs w:val="23"/>
              </w:rPr>
              <w:t>t</w:t>
            </w:r>
            <w:r>
              <w:rPr>
                <w:sz w:val="23"/>
                <w:szCs w:val="23"/>
              </w:rPr>
              <w:t>axable and will process correctly if you designate the earnings under the proper classification.</w:t>
            </w:r>
            <w:r w:rsidR="00075BBF">
              <w:rPr>
                <w:sz w:val="23"/>
                <w:szCs w:val="23"/>
              </w:rPr>
              <w:t xml:space="preserve">  Doing so will clean up </w:t>
            </w:r>
            <w:r w:rsidR="009C45C1">
              <w:rPr>
                <w:sz w:val="23"/>
                <w:szCs w:val="23"/>
              </w:rPr>
              <w:t>the</w:t>
            </w:r>
            <w:r w:rsidR="00075BBF">
              <w:rPr>
                <w:sz w:val="23"/>
                <w:szCs w:val="23"/>
              </w:rPr>
              <w:t xml:space="preserve"> U093 exceptions and allow for </w:t>
            </w:r>
            <w:r w:rsidR="009C45C1">
              <w:rPr>
                <w:sz w:val="23"/>
                <w:szCs w:val="23"/>
              </w:rPr>
              <w:t>faster</w:t>
            </w:r>
            <w:r w:rsidR="00075BBF">
              <w:rPr>
                <w:sz w:val="23"/>
                <w:szCs w:val="23"/>
              </w:rPr>
              <w:t xml:space="preserve"> review.</w:t>
            </w:r>
          </w:p>
          <w:p w:rsidR="000B399D" w:rsidRDefault="000B399D" w:rsidP="00412C0C">
            <w:pPr>
              <w:pStyle w:val="BlockText"/>
              <w:tabs>
                <w:tab w:val="left" w:pos="4554"/>
              </w:tabs>
              <w:ind w:left="162"/>
              <w:rPr>
                <w:sz w:val="23"/>
                <w:szCs w:val="23"/>
              </w:rPr>
            </w:pPr>
          </w:p>
          <w:p w:rsidR="00075BBF" w:rsidRDefault="00E50392" w:rsidP="00412C0C">
            <w:pPr>
              <w:pStyle w:val="BlockText"/>
              <w:tabs>
                <w:tab w:val="left" w:pos="4554"/>
              </w:tabs>
              <w:ind w:left="162"/>
              <w:rPr>
                <w:sz w:val="23"/>
                <w:szCs w:val="23"/>
              </w:rPr>
            </w:pPr>
            <w:r>
              <w:rPr>
                <w:sz w:val="23"/>
                <w:szCs w:val="23"/>
              </w:rPr>
              <w:t>To avoid these errors, e</w:t>
            </w:r>
            <w:r w:rsidR="000B399D">
              <w:rPr>
                <w:sz w:val="23"/>
                <w:szCs w:val="23"/>
              </w:rPr>
              <w:t>stabli</w:t>
            </w:r>
            <w:r>
              <w:rPr>
                <w:sz w:val="23"/>
                <w:szCs w:val="23"/>
              </w:rPr>
              <w:t>sh students in CIPPS with FICA s</w:t>
            </w:r>
            <w:r w:rsidR="000B399D">
              <w:rPr>
                <w:sz w:val="23"/>
                <w:szCs w:val="23"/>
              </w:rPr>
              <w:t>tatus “4”.  Use Special Pay 091 to process payments that are FICA</w:t>
            </w:r>
            <w:r>
              <w:rPr>
                <w:sz w:val="23"/>
                <w:szCs w:val="23"/>
              </w:rPr>
              <w:t xml:space="preserve"> n</w:t>
            </w:r>
            <w:r w:rsidR="000B399D">
              <w:rPr>
                <w:sz w:val="23"/>
                <w:szCs w:val="23"/>
              </w:rPr>
              <w:t>on-</w:t>
            </w:r>
            <w:r>
              <w:rPr>
                <w:sz w:val="23"/>
                <w:szCs w:val="23"/>
              </w:rPr>
              <w:t>t</w:t>
            </w:r>
            <w:r w:rsidR="000B399D">
              <w:rPr>
                <w:sz w:val="23"/>
                <w:szCs w:val="23"/>
              </w:rPr>
              <w:t xml:space="preserve">axable.  Use </w:t>
            </w:r>
            <w:r w:rsidR="00960A83">
              <w:rPr>
                <w:sz w:val="23"/>
                <w:szCs w:val="23"/>
              </w:rPr>
              <w:t>R</w:t>
            </w:r>
            <w:r w:rsidR="000B399D">
              <w:rPr>
                <w:sz w:val="23"/>
                <w:szCs w:val="23"/>
              </w:rPr>
              <w:t xml:space="preserve">egular pay to process payments to students that are taxable.  </w:t>
            </w:r>
            <w:r>
              <w:rPr>
                <w:sz w:val="23"/>
                <w:szCs w:val="23"/>
              </w:rPr>
              <w:t xml:space="preserve">Agencies can key Special Pay </w:t>
            </w:r>
            <w:r w:rsidR="004C732E">
              <w:rPr>
                <w:sz w:val="23"/>
                <w:szCs w:val="23"/>
              </w:rPr>
              <w:t>091</w:t>
            </w:r>
            <w:r>
              <w:rPr>
                <w:sz w:val="23"/>
                <w:szCs w:val="23"/>
              </w:rPr>
              <w:t xml:space="preserve"> on </w:t>
            </w:r>
            <w:r w:rsidR="00075BBF">
              <w:rPr>
                <w:sz w:val="23"/>
                <w:szCs w:val="23"/>
              </w:rPr>
              <w:t xml:space="preserve">either </w:t>
            </w:r>
            <w:r>
              <w:rPr>
                <w:sz w:val="23"/>
                <w:szCs w:val="23"/>
              </w:rPr>
              <w:t xml:space="preserve">HUC01 or HUE01.  </w:t>
            </w:r>
            <w:r w:rsidR="00075BBF">
              <w:rPr>
                <w:sz w:val="23"/>
                <w:szCs w:val="23"/>
              </w:rPr>
              <w:t xml:space="preserve">Key the hours only and CIPPS will multiply the number </w:t>
            </w:r>
            <w:r w:rsidR="009C45C1">
              <w:rPr>
                <w:sz w:val="23"/>
                <w:szCs w:val="23"/>
              </w:rPr>
              <w:t xml:space="preserve">of </w:t>
            </w:r>
            <w:r w:rsidR="00075BBF">
              <w:rPr>
                <w:sz w:val="23"/>
                <w:szCs w:val="23"/>
              </w:rPr>
              <w:t xml:space="preserve">hours by the hourly rate established on H0BID.  </w:t>
            </w:r>
          </w:p>
          <w:p w:rsidR="004C732E" w:rsidRDefault="004C732E" w:rsidP="00412C0C">
            <w:pPr>
              <w:pStyle w:val="BlockText"/>
              <w:tabs>
                <w:tab w:val="left" w:pos="4554"/>
              </w:tabs>
              <w:ind w:left="162"/>
              <w:rPr>
                <w:sz w:val="23"/>
                <w:szCs w:val="23"/>
              </w:rPr>
            </w:pPr>
          </w:p>
          <w:p w:rsidR="004C732E" w:rsidRDefault="004C732E" w:rsidP="00412C0C">
            <w:pPr>
              <w:pStyle w:val="BlockText"/>
              <w:tabs>
                <w:tab w:val="left" w:pos="4554"/>
              </w:tabs>
              <w:ind w:left="162"/>
              <w:rPr>
                <w:sz w:val="23"/>
                <w:szCs w:val="23"/>
              </w:rPr>
            </w:pPr>
            <w:r>
              <w:rPr>
                <w:sz w:val="23"/>
                <w:szCs w:val="23"/>
              </w:rPr>
              <w:t>Special Pay 091 will default to account code 501146 (Wages, Federal Work Study Student).  Agencies can establish an HMBU1 screen for Special Pay 091 to override the account code by employee when necessary</w:t>
            </w:r>
            <w:r w:rsidR="009C45C1">
              <w:rPr>
                <w:sz w:val="23"/>
                <w:szCs w:val="23"/>
              </w:rPr>
              <w:t xml:space="preserve"> (i.e., when it is a State Work Study program as opposed to Federal)</w:t>
            </w:r>
            <w:r>
              <w:rPr>
                <w:sz w:val="23"/>
                <w:szCs w:val="23"/>
              </w:rPr>
              <w:t>.</w:t>
            </w:r>
          </w:p>
          <w:p w:rsidR="00075BBF" w:rsidRDefault="00075BBF" w:rsidP="00412C0C">
            <w:pPr>
              <w:pStyle w:val="BlockText"/>
              <w:tabs>
                <w:tab w:val="left" w:pos="4554"/>
              </w:tabs>
              <w:ind w:left="162"/>
              <w:rPr>
                <w:sz w:val="23"/>
                <w:szCs w:val="23"/>
              </w:rPr>
            </w:pPr>
          </w:p>
          <w:p w:rsidR="000B399D" w:rsidRDefault="000B399D" w:rsidP="00412C0C">
            <w:pPr>
              <w:pStyle w:val="BlockText"/>
              <w:tabs>
                <w:tab w:val="left" w:pos="4554"/>
              </w:tabs>
              <w:ind w:left="162"/>
              <w:rPr>
                <w:sz w:val="23"/>
                <w:szCs w:val="23"/>
              </w:rPr>
            </w:pPr>
            <w:r>
              <w:rPr>
                <w:sz w:val="23"/>
                <w:szCs w:val="23"/>
              </w:rPr>
              <w:t xml:space="preserve">This will also make it easier to re-classify prior payments that </w:t>
            </w:r>
            <w:r w:rsidR="00CB582C">
              <w:rPr>
                <w:sz w:val="23"/>
                <w:szCs w:val="23"/>
              </w:rPr>
              <w:t xml:space="preserve">are </w:t>
            </w:r>
            <w:r>
              <w:rPr>
                <w:sz w:val="23"/>
                <w:szCs w:val="23"/>
              </w:rPr>
              <w:t>incorrectly classified.  In these cases, move the non-taxable student wages to taxable student wages on HTPSA.</w:t>
            </w:r>
          </w:p>
          <w:p w:rsidR="000B399D" w:rsidRDefault="000B399D" w:rsidP="00412C0C">
            <w:pPr>
              <w:pStyle w:val="BlockText"/>
              <w:tabs>
                <w:tab w:val="left" w:pos="4554"/>
              </w:tabs>
              <w:ind w:left="162"/>
              <w:rPr>
                <w:sz w:val="23"/>
                <w:szCs w:val="23"/>
              </w:rPr>
            </w:pPr>
          </w:p>
          <w:p w:rsidR="00075BBF" w:rsidRDefault="000B399D" w:rsidP="00075BBF">
            <w:pPr>
              <w:pStyle w:val="BlockText"/>
              <w:tabs>
                <w:tab w:val="left" w:pos="4554"/>
              </w:tabs>
              <w:ind w:left="162"/>
              <w:rPr>
                <w:sz w:val="23"/>
                <w:szCs w:val="23"/>
              </w:rPr>
            </w:pPr>
            <w:r>
              <w:rPr>
                <w:sz w:val="23"/>
                <w:szCs w:val="23"/>
              </w:rPr>
              <w:t xml:space="preserve">Agencies that upload student hours to CIPPS </w:t>
            </w:r>
            <w:r w:rsidR="00075BBF">
              <w:rPr>
                <w:sz w:val="23"/>
                <w:szCs w:val="23"/>
              </w:rPr>
              <w:t xml:space="preserve">via batch transactions </w:t>
            </w:r>
            <w:r>
              <w:rPr>
                <w:sz w:val="23"/>
                <w:szCs w:val="23"/>
              </w:rPr>
              <w:t>need to send 7XX or 9XX transactions instead of 700 transactions</w:t>
            </w:r>
            <w:r w:rsidR="004C732E">
              <w:rPr>
                <w:sz w:val="23"/>
                <w:szCs w:val="23"/>
              </w:rPr>
              <w:t xml:space="preserve"> to use Special Pay 091.</w:t>
            </w:r>
          </w:p>
          <w:p w:rsidR="00075BBF" w:rsidRDefault="00075BBF" w:rsidP="00075BBF">
            <w:pPr>
              <w:pStyle w:val="BlockText"/>
              <w:tabs>
                <w:tab w:val="left" w:pos="4554"/>
              </w:tabs>
              <w:ind w:left="162"/>
              <w:rPr>
                <w:sz w:val="23"/>
                <w:szCs w:val="23"/>
              </w:rPr>
            </w:pPr>
          </w:p>
          <w:p w:rsidR="000B399D" w:rsidRPr="004A017B" w:rsidRDefault="00075BBF" w:rsidP="00075BBF">
            <w:pPr>
              <w:pStyle w:val="BlockText"/>
              <w:tabs>
                <w:tab w:val="left" w:pos="4554"/>
              </w:tabs>
              <w:ind w:left="162"/>
              <w:rPr>
                <w:sz w:val="23"/>
                <w:szCs w:val="23"/>
              </w:rPr>
            </w:pPr>
            <w:r>
              <w:rPr>
                <w:sz w:val="23"/>
                <w:szCs w:val="23"/>
              </w:rPr>
              <w:t xml:space="preserve">Please contact SPO using </w:t>
            </w:r>
            <w:hyperlink r:id="rId14" w:history="1">
              <w:r w:rsidRPr="00F00789">
                <w:rPr>
                  <w:rStyle w:val="Hyperlink"/>
                  <w:sz w:val="23"/>
                  <w:szCs w:val="23"/>
                </w:rPr>
                <w:t>payroll@doa.virginia.gov</w:t>
              </w:r>
            </w:hyperlink>
            <w:r>
              <w:rPr>
                <w:sz w:val="23"/>
                <w:szCs w:val="23"/>
              </w:rPr>
              <w:t xml:space="preserve"> for assistance with the transition to the new method.</w:t>
            </w:r>
          </w:p>
        </w:tc>
      </w:tr>
    </w:tbl>
    <w:p w:rsidR="000B399D" w:rsidRDefault="000B399D" w:rsidP="000B399D">
      <w:r>
        <w:tab/>
        <w:t xml:space="preserve">  </w:t>
      </w:r>
      <w:r>
        <w:tab/>
      </w:r>
    </w:p>
    <w:p w:rsidR="000B399D" w:rsidRDefault="000B399D" w:rsidP="000B399D">
      <w:pPr>
        <w:pStyle w:val="BlockLine"/>
        <w:ind w:left="1620"/>
        <w:rPr>
          <w:sz w:val="16"/>
          <w:szCs w:val="16"/>
        </w:rPr>
      </w:pPr>
    </w:p>
    <w:p w:rsidR="000B399D" w:rsidRPr="00A21A52" w:rsidRDefault="000B399D" w:rsidP="00A21A52"/>
    <w:sectPr w:rsidR="000B399D" w:rsidRPr="00A21A52" w:rsidSect="00EB46C9">
      <w:headerReference w:type="default" r:id="rId15"/>
      <w:footerReference w:type="default" r:id="rId16"/>
      <w:pgSz w:w="12240" w:h="15840" w:code="1"/>
      <w:pgMar w:top="994" w:right="720" w:bottom="540" w:left="720" w:header="432" w:footer="8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A4D" w:rsidRDefault="00316A4D" w:rsidP="007C617C">
      <w:pPr>
        <w:pStyle w:val="TableText"/>
      </w:pPr>
      <w:r>
        <w:separator/>
      </w:r>
    </w:p>
  </w:endnote>
  <w:endnote w:type="continuationSeparator" w:id="0">
    <w:p w:rsidR="00316A4D" w:rsidRDefault="00316A4D"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0F" w:rsidRDefault="00FB560F" w:rsidP="00FB560F">
    <w:pPr>
      <w:pStyle w:val="Footer"/>
      <w:pBdr>
        <w:top w:val="single" w:sz="6" w:space="0" w:color="auto"/>
      </w:pBdr>
      <w:tabs>
        <w:tab w:val="clear" w:pos="4320"/>
        <w:tab w:val="clear" w:pos="8640"/>
        <w:tab w:val="left" w:pos="5940"/>
      </w:tabs>
      <w:ind w:right="-414"/>
      <w:jc w:val="center"/>
      <w:rPr>
        <w:rStyle w:val="PageNumber"/>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5C2E40">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C2E40">
      <w:rPr>
        <w:rStyle w:val="PageNumber"/>
        <w:noProof/>
      </w:rPr>
      <w:t>6</w:t>
    </w:r>
    <w:r>
      <w:rPr>
        <w:rStyle w:val="PageNumber"/>
      </w:rPr>
      <w:fldChar w:fldCharType="end"/>
    </w:r>
  </w:p>
  <w:p w:rsidR="009D3C2C" w:rsidRDefault="009D3C2C" w:rsidP="00FB560F">
    <w:pPr>
      <w:pStyle w:val="Footer"/>
      <w:pBdr>
        <w:top w:val="single" w:sz="6" w:space="0" w:color="auto"/>
      </w:pBdr>
      <w:tabs>
        <w:tab w:val="clear" w:pos="4320"/>
        <w:tab w:val="clear" w:pos="8640"/>
        <w:tab w:val="left" w:pos="5940"/>
      </w:tabs>
      <w:ind w:right="-414"/>
      <w:jc w:val="center"/>
      <w:rPr>
        <w:i/>
        <w:snapToGrid w:val="0"/>
        <w:sz w:val="22"/>
      </w:rPr>
    </w:pPr>
  </w:p>
  <w:p w:rsidR="006C52CC" w:rsidRPr="00FB560F" w:rsidRDefault="005C1DB6" w:rsidP="005C1DB6">
    <w:pPr>
      <w:pStyle w:val="Footer"/>
      <w:jc w:val="center"/>
    </w:pPr>
    <w:r w:rsidRPr="005C1DB6">
      <w:rPr>
        <w:rStyle w:val="Hyperlink"/>
        <w:i/>
        <w:iCs/>
        <w:snapToGrid w:val="0"/>
        <w:sz w:val="22"/>
      </w:rPr>
      <w:t>https://www.doa.virginia.gov/reference/payroll/bulletins.shtml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A4D" w:rsidRDefault="00316A4D" w:rsidP="007C617C">
      <w:pPr>
        <w:pStyle w:val="TableText"/>
      </w:pPr>
      <w:r>
        <w:separator/>
      </w:r>
    </w:p>
  </w:footnote>
  <w:footnote w:type="continuationSeparator" w:id="0">
    <w:p w:rsidR="00316A4D" w:rsidRDefault="00316A4D" w:rsidP="007C617C">
      <w:pPr>
        <w:pStyle w:val="Tabl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0F" w:rsidRDefault="00FB560F" w:rsidP="00FB560F">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FB560F" w:rsidTr="00162D27">
      <w:trPr>
        <w:cantSplit/>
      </w:trPr>
      <w:tc>
        <w:tcPr>
          <w:tcW w:w="3366" w:type="dxa"/>
          <w:tcBorders>
            <w:bottom w:val="double" w:sz="6" w:space="0" w:color="auto"/>
          </w:tcBorders>
        </w:tcPr>
        <w:p w:rsidR="00FB560F" w:rsidRDefault="00FB560F" w:rsidP="00FB560F">
          <w:pPr>
            <w:pStyle w:val="Header"/>
            <w:rPr>
              <w:b/>
              <w:sz w:val="20"/>
            </w:rPr>
          </w:pPr>
          <w:r>
            <w:rPr>
              <w:b/>
              <w:sz w:val="20"/>
            </w:rPr>
            <w:t>Calendar Year 201</w:t>
          </w:r>
          <w:r w:rsidR="00133F31">
            <w:rPr>
              <w:b/>
              <w:sz w:val="20"/>
            </w:rPr>
            <w:t>9</w:t>
          </w:r>
        </w:p>
      </w:tc>
      <w:tc>
        <w:tcPr>
          <w:tcW w:w="3366" w:type="dxa"/>
          <w:tcBorders>
            <w:bottom w:val="double" w:sz="6" w:space="0" w:color="auto"/>
          </w:tcBorders>
        </w:tcPr>
        <w:p w:rsidR="00FB560F" w:rsidRDefault="004141C0" w:rsidP="00A21E97">
          <w:pPr>
            <w:pStyle w:val="Header"/>
            <w:jc w:val="center"/>
            <w:rPr>
              <w:b/>
              <w:sz w:val="20"/>
            </w:rPr>
          </w:pPr>
          <w:r>
            <w:rPr>
              <w:b/>
              <w:sz w:val="20"/>
            </w:rPr>
            <w:t>March 2</w:t>
          </w:r>
          <w:r w:rsidR="00A21E97">
            <w:rPr>
              <w:b/>
              <w:sz w:val="20"/>
            </w:rPr>
            <w:t>9</w:t>
          </w:r>
          <w:r w:rsidR="00133F31">
            <w:rPr>
              <w:b/>
              <w:sz w:val="20"/>
            </w:rPr>
            <w:t>, 2019</w:t>
          </w:r>
        </w:p>
      </w:tc>
      <w:tc>
        <w:tcPr>
          <w:tcW w:w="3366" w:type="dxa"/>
          <w:tcBorders>
            <w:bottom w:val="double" w:sz="6" w:space="0" w:color="auto"/>
          </w:tcBorders>
        </w:tcPr>
        <w:p w:rsidR="00FB560F" w:rsidRDefault="00FB560F" w:rsidP="004141C0">
          <w:pPr>
            <w:pStyle w:val="Header"/>
            <w:jc w:val="right"/>
            <w:rPr>
              <w:b/>
              <w:sz w:val="20"/>
            </w:rPr>
          </w:pPr>
          <w:r>
            <w:rPr>
              <w:b/>
              <w:sz w:val="20"/>
            </w:rPr>
            <w:t>Volume 201</w:t>
          </w:r>
          <w:r w:rsidR="00133F31">
            <w:rPr>
              <w:b/>
              <w:sz w:val="20"/>
            </w:rPr>
            <w:t>9</w:t>
          </w:r>
          <w:r>
            <w:rPr>
              <w:b/>
              <w:sz w:val="20"/>
            </w:rPr>
            <w:t>-</w:t>
          </w:r>
          <w:r w:rsidR="00133F31">
            <w:rPr>
              <w:b/>
              <w:sz w:val="20"/>
            </w:rPr>
            <w:t>0</w:t>
          </w:r>
          <w:r w:rsidR="004141C0">
            <w:rPr>
              <w:b/>
              <w:sz w:val="20"/>
            </w:rPr>
            <w:t>4</w:t>
          </w:r>
          <w:r w:rsidR="00BE032C">
            <w:rPr>
              <w:b/>
              <w:sz w:val="20"/>
            </w:rPr>
            <w:t xml:space="preserve"> </w:t>
          </w:r>
        </w:p>
      </w:tc>
    </w:tr>
  </w:tbl>
  <w:p w:rsidR="00FB560F" w:rsidRDefault="00FB560F" w:rsidP="00FB5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C25"/>
    <w:multiLevelType w:val="hybridMultilevel"/>
    <w:tmpl w:val="8E82812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03690A23"/>
    <w:multiLevelType w:val="hybridMultilevel"/>
    <w:tmpl w:val="D1C28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633C1C"/>
    <w:multiLevelType w:val="hybridMultilevel"/>
    <w:tmpl w:val="DEF0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84135"/>
    <w:multiLevelType w:val="hybridMultilevel"/>
    <w:tmpl w:val="8F4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3370D63"/>
    <w:multiLevelType w:val="hybridMultilevel"/>
    <w:tmpl w:val="77D2381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46403FF6"/>
    <w:multiLevelType w:val="hybridMultilevel"/>
    <w:tmpl w:val="1B82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5F64F2"/>
    <w:multiLevelType w:val="hybridMultilevel"/>
    <w:tmpl w:val="C2C2487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nsid w:val="524322CE"/>
    <w:multiLevelType w:val="hybridMultilevel"/>
    <w:tmpl w:val="B7E69A60"/>
    <w:lvl w:ilvl="0" w:tplc="0409000D">
      <w:start w:val="1"/>
      <w:numFmt w:val="bullet"/>
      <w:lvlText w:val=""/>
      <w:lvlJc w:val="left"/>
      <w:pPr>
        <w:tabs>
          <w:tab w:val="num" w:pos="533"/>
        </w:tabs>
        <w:ind w:left="533" w:hanging="360"/>
      </w:pPr>
      <w:rPr>
        <w:rFonts w:ascii="Wingdings" w:hAnsi="Wingdings" w:hint="default"/>
      </w:rPr>
    </w:lvl>
    <w:lvl w:ilvl="1" w:tplc="04090003">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1">
    <w:nsid w:val="58CA73B6"/>
    <w:multiLevelType w:val="hybridMultilevel"/>
    <w:tmpl w:val="D212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nsid w:val="5F823BE2"/>
    <w:multiLevelType w:val="hybridMultilevel"/>
    <w:tmpl w:val="37FC4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5">
    <w:nsid w:val="777224DA"/>
    <w:multiLevelType w:val="hybridMultilevel"/>
    <w:tmpl w:val="0D76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B2F04D7"/>
    <w:multiLevelType w:val="hybridMultilevel"/>
    <w:tmpl w:val="65A84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5"/>
  </w:num>
  <w:num w:numId="9">
    <w:abstractNumId w:val="15"/>
  </w:num>
  <w:num w:numId="10">
    <w:abstractNumId w:val="0"/>
  </w:num>
  <w:num w:numId="11">
    <w:abstractNumId w:val="8"/>
  </w:num>
  <w:num w:numId="12">
    <w:abstractNumId w:val="3"/>
  </w:num>
  <w:num w:numId="13">
    <w:abstractNumId w:val="7"/>
  </w:num>
  <w:num w:numId="14">
    <w:abstractNumId w:val="4"/>
  </w:num>
  <w:num w:numId="15">
    <w:abstractNumId w:val="17"/>
  </w:num>
  <w:num w:numId="16">
    <w:abstractNumId w:val="11"/>
  </w:num>
  <w:num w:numId="17">
    <w:abstractNumId w:val="1"/>
  </w:num>
  <w:num w:numId="18">
    <w:abstractNumId w:val="13"/>
  </w:num>
  <w:num w:numId="1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54"/>
    <w:rsid w:val="000009B2"/>
    <w:rsid w:val="000013D1"/>
    <w:rsid w:val="00004CD3"/>
    <w:rsid w:val="00004DB9"/>
    <w:rsid w:val="000061FB"/>
    <w:rsid w:val="0000664C"/>
    <w:rsid w:val="0001012E"/>
    <w:rsid w:val="000119A4"/>
    <w:rsid w:val="000121C0"/>
    <w:rsid w:val="00013C03"/>
    <w:rsid w:val="000148D1"/>
    <w:rsid w:val="000154AE"/>
    <w:rsid w:val="00016EE3"/>
    <w:rsid w:val="0001760B"/>
    <w:rsid w:val="00024A4F"/>
    <w:rsid w:val="00024E2C"/>
    <w:rsid w:val="00025A98"/>
    <w:rsid w:val="00031C2F"/>
    <w:rsid w:val="000325BD"/>
    <w:rsid w:val="00033078"/>
    <w:rsid w:val="000343C1"/>
    <w:rsid w:val="00034A69"/>
    <w:rsid w:val="00034ABB"/>
    <w:rsid w:val="00042CF3"/>
    <w:rsid w:val="00043092"/>
    <w:rsid w:val="00043C21"/>
    <w:rsid w:val="00046661"/>
    <w:rsid w:val="0005668B"/>
    <w:rsid w:val="000575E6"/>
    <w:rsid w:val="0006038A"/>
    <w:rsid w:val="00062288"/>
    <w:rsid w:val="00066287"/>
    <w:rsid w:val="00066F92"/>
    <w:rsid w:val="00070655"/>
    <w:rsid w:val="000730E0"/>
    <w:rsid w:val="000736C4"/>
    <w:rsid w:val="00073D12"/>
    <w:rsid w:val="00074937"/>
    <w:rsid w:val="00075BBF"/>
    <w:rsid w:val="0007613B"/>
    <w:rsid w:val="00076F0B"/>
    <w:rsid w:val="0008335C"/>
    <w:rsid w:val="00086DA9"/>
    <w:rsid w:val="00086DEB"/>
    <w:rsid w:val="00087B54"/>
    <w:rsid w:val="00094305"/>
    <w:rsid w:val="000961E6"/>
    <w:rsid w:val="000A1B5C"/>
    <w:rsid w:val="000A425E"/>
    <w:rsid w:val="000A5008"/>
    <w:rsid w:val="000A7A20"/>
    <w:rsid w:val="000B0BE5"/>
    <w:rsid w:val="000B399D"/>
    <w:rsid w:val="000B3A75"/>
    <w:rsid w:val="000B46F3"/>
    <w:rsid w:val="000B705E"/>
    <w:rsid w:val="000B7588"/>
    <w:rsid w:val="000C1CD3"/>
    <w:rsid w:val="000C2299"/>
    <w:rsid w:val="000C2640"/>
    <w:rsid w:val="000C44E0"/>
    <w:rsid w:val="000C62B0"/>
    <w:rsid w:val="000C67E6"/>
    <w:rsid w:val="000C7D97"/>
    <w:rsid w:val="000D1733"/>
    <w:rsid w:val="000D2A08"/>
    <w:rsid w:val="000D2CE5"/>
    <w:rsid w:val="000D3410"/>
    <w:rsid w:val="000D3694"/>
    <w:rsid w:val="000D4600"/>
    <w:rsid w:val="000D666D"/>
    <w:rsid w:val="000E1330"/>
    <w:rsid w:val="000E1869"/>
    <w:rsid w:val="000E2732"/>
    <w:rsid w:val="000E3103"/>
    <w:rsid w:val="000E3A25"/>
    <w:rsid w:val="000E3FFB"/>
    <w:rsid w:val="000E404F"/>
    <w:rsid w:val="000E537F"/>
    <w:rsid w:val="000E5838"/>
    <w:rsid w:val="000E7D70"/>
    <w:rsid w:val="000F0993"/>
    <w:rsid w:val="000F0E14"/>
    <w:rsid w:val="000F187B"/>
    <w:rsid w:val="000F22DC"/>
    <w:rsid w:val="000F3101"/>
    <w:rsid w:val="000F7EA6"/>
    <w:rsid w:val="00100D13"/>
    <w:rsid w:val="001010BF"/>
    <w:rsid w:val="00104DF4"/>
    <w:rsid w:val="00106DE8"/>
    <w:rsid w:val="00110009"/>
    <w:rsid w:val="00112EA6"/>
    <w:rsid w:val="00115C5B"/>
    <w:rsid w:val="00117B7F"/>
    <w:rsid w:val="00121380"/>
    <w:rsid w:val="0012199B"/>
    <w:rsid w:val="001219C0"/>
    <w:rsid w:val="00123E43"/>
    <w:rsid w:val="001250AB"/>
    <w:rsid w:val="001250BA"/>
    <w:rsid w:val="00131DF6"/>
    <w:rsid w:val="00133F31"/>
    <w:rsid w:val="001351EE"/>
    <w:rsid w:val="00135F2B"/>
    <w:rsid w:val="00136A70"/>
    <w:rsid w:val="0013736C"/>
    <w:rsid w:val="00141255"/>
    <w:rsid w:val="001418A6"/>
    <w:rsid w:val="00141BFF"/>
    <w:rsid w:val="001470B2"/>
    <w:rsid w:val="00150108"/>
    <w:rsid w:val="001514CE"/>
    <w:rsid w:val="00151D7E"/>
    <w:rsid w:val="001522AD"/>
    <w:rsid w:val="001524A6"/>
    <w:rsid w:val="001532E5"/>
    <w:rsid w:val="001549A7"/>
    <w:rsid w:val="00156C2F"/>
    <w:rsid w:val="00156F49"/>
    <w:rsid w:val="00162130"/>
    <w:rsid w:val="0016577E"/>
    <w:rsid w:val="001661AD"/>
    <w:rsid w:val="00166AE2"/>
    <w:rsid w:val="00167683"/>
    <w:rsid w:val="00170319"/>
    <w:rsid w:val="00170449"/>
    <w:rsid w:val="001711AD"/>
    <w:rsid w:val="00172018"/>
    <w:rsid w:val="00173D28"/>
    <w:rsid w:val="001758B4"/>
    <w:rsid w:val="00177CAF"/>
    <w:rsid w:val="00177D26"/>
    <w:rsid w:val="0018004A"/>
    <w:rsid w:val="00180B5E"/>
    <w:rsid w:val="00183EEE"/>
    <w:rsid w:val="0018670A"/>
    <w:rsid w:val="0018756F"/>
    <w:rsid w:val="00196700"/>
    <w:rsid w:val="00196BB8"/>
    <w:rsid w:val="0019734E"/>
    <w:rsid w:val="001976CC"/>
    <w:rsid w:val="001A35B8"/>
    <w:rsid w:val="001A3A6D"/>
    <w:rsid w:val="001B06CA"/>
    <w:rsid w:val="001B07C1"/>
    <w:rsid w:val="001B0F48"/>
    <w:rsid w:val="001B322E"/>
    <w:rsid w:val="001B3A21"/>
    <w:rsid w:val="001B43BF"/>
    <w:rsid w:val="001B5A65"/>
    <w:rsid w:val="001B5FF8"/>
    <w:rsid w:val="001C63B7"/>
    <w:rsid w:val="001D10CC"/>
    <w:rsid w:val="001D13F4"/>
    <w:rsid w:val="001D3036"/>
    <w:rsid w:val="001D4288"/>
    <w:rsid w:val="001D50E1"/>
    <w:rsid w:val="001D51E9"/>
    <w:rsid w:val="001D5D8F"/>
    <w:rsid w:val="001D7553"/>
    <w:rsid w:val="001E1CD9"/>
    <w:rsid w:val="001E2A7B"/>
    <w:rsid w:val="001E2B98"/>
    <w:rsid w:val="001E2CFE"/>
    <w:rsid w:val="001E5787"/>
    <w:rsid w:val="001E6E76"/>
    <w:rsid w:val="001F0A04"/>
    <w:rsid w:val="001F0A73"/>
    <w:rsid w:val="001F0EC9"/>
    <w:rsid w:val="001F12F1"/>
    <w:rsid w:val="001F15D4"/>
    <w:rsid w:val="001F166C"/>
    <w:rsid w:val="001F231B"/>
    <w:rsid w:val="001F4FF1"/>
    <w:rsid w:val="001F572D"/>
    <w:rsid w:val="001F58EC"/>
    <w:rsid w:val="00200C55"/>
    <w:rsid w:val="00201D45"/>
    <w:rsid w:val="00203860"/>
    <w:rsid w:val="0020718C"/>
    <w:rsid w:val="0021069C"/>
    <w:rsid w:val="00214A28"/>
    <w:rsid w:val="00216B11"/>
    <w:rsid w:val="00216D6B"/>
    <w:rsid w:val="0022044F"/>
    <w:rsid w:val="00221021"/>
    <w:rsid w:val="002215EE"/>
    <w:rsid w:val="002225D4"/>
    <w:rsid w:val="0022353A"/>
    <w:rsid w:val="00224527"/>
    <w:rsid w:val="002276C7"/>
    <w:rsid w:val="00230A49"/>
    <w:rsid w:val="002311E6"/>
    <w:rsid w:val="00233935"/>
    <w:rsid w:val="0024126B"/>
    <w:rsid w:val="002412F8"/>
    <w:rsid w:val="0024180D"/>
    <w:rsid w:val="00241CC5"/>
    <w:rsid w:val="00244D87"/>
    <w:rsid w:val="00245357"/>
    <w:rsid w:val="00246ADD"/>
    <w:rsid w:val="002512D1"/>
    <w:rsid w:val="00251472"/>
    <w:rsid w:val="00251C45"/>
    <w:rsid w:val="00252C61"/>
    <w:rsid w:val="00253BB5"/>
    <w:rsid w:val="00255FBC"/>
    <w:rsid w:val="002616D8"/>
    <w:rsid w:val="002630B0"/>
    <w:rsid w:val="00265865"/>
    <w:rsid w:val="002677C1"/>
    <w:rsid w:val="00267C84"/>
    <w:rsid w:val="00270D38"/>
    <w:rsid w:val="0027216E"/>
    <w:rsid w:val="00272EDA"/>
    <w:rsid w:val="00273430"/>
    <w:rsid w:val="002745C9"/>
    <w:rsid w:val="00276909"/>
    <w:rsid w:val="00276BA2"/>
    <w:rsid w:val="002775F4"/>
    <w:rsid w:val="00280263"/>
    <w:rsid w:val="00280B76"/>
    <w:rsid w:val="00282F2D"/>
    <w:rsid w:val="00287D81"/>
    <w:rsid w:val="00290BF1"/>
    <w:rsid w:val="00293BAE"/>
    <w:rsid w:val="00297780"/>
    <w:rsid w:val="002A0CC0"/>
    <w:rsid w:val="002A0F8D"/>
    <w:rsid w:val="002A1664"/>
    <w:rsid w:val="002A3EE7"/>
    <w:rsid w:val="002A436C"/>
    <w:rsid w:val="002A6633"/>
    <w:rsid w:val="002A67D2"/>
    <w:rsid w:val="002A6806"/>
    <w:rsid w:val="002A7134"/>
    <w:rsid w:val="002B24A6"/>
    <w:rsid w:val="002B2504"/>
    <w:rsid w:val="002B2DD4"/>
    <w:rsid w:val="002C0D88"/>
    <w:rsid w:val="002C1B54"/>
    <w:rsid w:val="002C2601"/>
    <w:rsid w:val="002C3A91"/>
    <w:rsid w:val="002D1662"/>
    <w:rsid w:val="002D2DAB"/>
    <w:rsid w:val="002D46F7"/>
    <w:rsid w:val="002D5501"/>
    <w:rsid w:val="002D6045"/>
    <w:rsid w:val="002D742F"/>
    <w:rsid w:val="002E1208"/>
    <w:rsid w:val="002E5874"/>
    <w:rsid w:val="002F01F8"/>
    <w:rsid w:val="002F02B0"/>
    <w:rsid w:val="002F0E27"/>
    <w:rsid w:val="002F2757"/>
    <w:rsid w:val="002F6F61"/>
    <w:rsid w:val="00300217"/>
    <w:rsid w:val="00302013"/>
    <w:rsid w:val="00303AB2"/>
    <w:rsid w:val="00304474"/>
    <w:rsid w:val="0030540F"/>
    <w:rsid w:val="00305AE0"/>
    <w:rsid w:val="00305EC4"/>
    <w:rsid w:val="00311FC4"/>
    <w:rsid w:val="003164E9"/>
    <w:rsid w:val="003167D0"/>
    <w:rsid w:val="00316A4D"/>
    <w:rsid w:val="003202A7"/>
    <w:rsid w:val="003208FE"/>
    <w:rsid w:val="0032216D"/>
    <w:rsid w:val="00323E81"/>
    <w:rsid w:val="00324CFF"/>
    <w:rsid w:val="003306BE"/>
    <w:rsid w:val="0033082C"/>
    <w:rsid w:val="003340ED"/>
    <w:rsid w:val="00334F86"/>
    <w:rsid w:val="003362EF"/>
    <w:rsid w:val="00336C30"/>
    <w:rsid w:val="00341F6F"/>
    <w:rsid w:val="00342463"/>
    <w:rsid w:val="0034691C"/>
    <w:rsid w:val="00351AED"/>
    <w:rsid w:val="003530CA"/>
    <w:rsid w:val="0035312D"/>
    <w:rsid w:val="00353733"/>
    <w:rsid w:val="00353940"/>
    <w:rsid w:val="00354876"/>
    <w:rsid w:val="00357860"/>
    <w:rsid w:val="0036539D"/>
    <w:rsid w:val="003655B0"/>
    <w:rsid w:val="00365D95"/>
    <w:rsid w:val="00366919"/>
    <w:rsid w:val="00366A23"/>
    <w:rsid w:val="00367AD1"/>
    <w:rsid w:val="00370336"/>
    <w:rsid w:val="0037142A"/>
    <w:rsid w:val="00372196"/>
    <w:rsid w:val="00375835"/>
    <w:rsid w:val="00380089"/>
    <w:rsid w:val="00383B20"/>
    <w:rsid w:val="00387430"/>
    <w:rsid w:val="003878BE"/>
    <w:rsid w:val="00390379"/>
    <w:rsid w:val="00393AD1"/>
    <w:rsid w:val="00394137"/>
    <w:rsid w:val="003960F4"/>
    <w:rsid w:val="003975ED"/>
    <w:rsid w:val="003A1CF2"/>
    <w:rsid w:val="003A21D1"/>
    <w:rsid w:val="003A299C"/>
    <w:rsid w:val="003A53F0"/>
    <w:rsid w:val="003A5AA1"/>
    <w:rsid w:val="003B0A0C"/>
    <w:rsid w:val="003B0D56"/>
    <w:rsid w:val="003B1967"/>
    <w:rsid w:val="003B34C8"/>
    <w:rsid w:val="003B75D4"/>
    <w:rsid w:val="003C08CA"/>
    <w:rsid w:val="003C6837"/>
    <w:rsid w:val="003C6D11"/>
    <w:rsid w:val="003C6D56"/>
    <w:rsid w:val="003C7961"/>
    <w:rsid w:val="003C7D9B"/>
    <w:rsid w:val="003D3F81"/>
    <w:rsid w:val="003D7282"/>
    <w:rsid w:val="003D740C"/>
    <w:rsid w:val="003E0603"/>
    <w:rsid w:val="003E08C8"/>
    <w:rsid w:val="003E2BA4"/>
    <w:rsid w:val="003E357D"/>
    <w:rsid w:val="003E4762"/>
    <w:rsid w:val="003E5D10"/>
    <w:rsid w:val="003E607D"/>
    <w:rsid w:val="003E6E65"/>
    <w:rsid w:val="003F3609"/>
    <w:rsid w:val="003F3BF5"/>
    <w:rsid w:val="00407DEF"/>
    <w:rsid w:val="0041050B"/>
    <w:rsid w:val="004107DA"/>
    <w:rsid w:val="00410D89"/>
    <w:rsid w:val="004141C0"/>
    <w:rsid w:val="004145C7"/>
    <w:rsid w:val="004154A2"/>
    <w:rsid w:val="00421C10"/>
    <w:rsid w:val="004242F6"/>
    <w:rsid w:val="00425258"/>
    <w:rsid w:val="00426172"/>
    <w:rsid w:val="00430294"/>
    <w:rsid w:val="00432588"/>
    <w:rsid w:val="00432EEF"/>
    <w:rsid w:val="004334F0"/>
    <w:rsid w:val="00435038"/>
    <w:rsid w:val="00436684"/>
    <w:rsid w:val="004409C1"/>
    <w:rsid w:val="00444845"/>
    <w:rsid w:val="00446BBA"/>
    <w:rsid w:val="00447811"/>
    <w:rsid w:val="004507EB"/>
    <w:rsid w:val="00451F56"/>
    <w:rsid w:val="00451F9A"/>
    <w:rsid w:val="00452D65"/>
    <w:rsid w:val="00454635"/>
    <w:rsid w:val="00455D62"/>
    <w:rsid w:val="00455DC9"/>
    <w:rsid w:val="00456CD8"/>
    <w:rsid w:val="00456F7A"/>
    <w:rsid w:val="00457169"/>
    <w:rsid w:val="004630CE"/>
    <w:rsid w:val="00463F34"/>
    <w:rsid w:val="0046402E"/>
    <w:rsid w:val="0046406B"/>
    <w:rsid w:val="00466FB2"/>
    <w:rsid w:val="0047065E"/>
    <w:rsid w:val="00470A8B"/>
    <w:rsid w:val="00472253"/>
    <w:rsid w:val="00480977"/>
    <w:rsid w:val="0048151B"/>
    <w:rsid w:val="00481C94"/>
    <w:rsid w:val="00483721"/>
    <w:rsid w:val="004917B8"/>
    <w:rsid w:val="00492FFC"/>
    <w:rsid w:val="00493E53"/>
    <w:rsid w:val="004A017B"/>
    <w:rsid w:val="004A1066"/>
    <w:rsid w:val="004A669F"/>
    <w:rsid w:val="004B3078"/>
    <w:rsid w:val="004B44C6"/>
    <w:rsid w:val="004B4F4D"/>
    <w:rsid w:val="004B582A"/>
    <w:rsid w:val="004C0BE5"/>
    <w:rsid w:val="004C5133"/>
    <w:rsid w:val="004C52E0"/>
    <w:rsid w:val="004C732E"/>
    <w:rsid w:val="004C7604"/>
    <w:rsid w:val="004D0CDD"/>
    <w:rsid w:val="004D29A5"/>
    <w:rsid w:val="004D35C8"/>
    <w:rsid w:val="004D612E"/>
    <w:rsid w:val="004D6951"/>
    <w:rsid w:val="004E2C96"/>
    <w:rsid w:val="004E4FEE"/>
    <w:rsid w:val="004E5D33"/>
    <w:rsid w:val="004E5DF0"/>
    <w:rsid w:val="004E5E88"/>
    <w:rsid w:val="004E5FDF"/>
    <w:rsid w:val="004F0178"/>
    <w:rsid w:val="004F36B7"/>
    <w:rsid w:val="004F42C7"/>
    <w:rsid w:val="004F5F78"/>
    <w:rsid w:val="004F6C26"/>
    <w:rsid w:val="00500BF8"/>
    <w:rsid w:val="0050546B"/>
    <w:rsid w:val="00505570"/>
    <w:rsid w:val="00506503"/>
    <w:rsid w:val="00507839"/>
    <w:rsid w:val="0050784B"/>
    <w:rsid w:val="00512FE1"/>
    <w:rsid w:val="0051325D"/>
    <w:rsid w:val="005142FF"/>
    <w:rsid w:val="00514C84"/>
    <w:rsid w:val="00517AEE"/>
    <w:rsid w:val="00524A2D"/>
    <w:rsid w:val="00525773"/>
    <w:rsid w:val="00526582"/>
    <w:rsid w:val="00532965"/>
    <w:rsid w:val="00534AC1"/>
    <w:rsid w:val="00535941"/>
    <w:rsid w:val="005365BC"/>
    <w:rsid w:val="0054034D"/>
    <w:rsid w:val="005411B7"/>
    <w:rsid w:val="00543BEF"/>
    <w:rsid w:val="00544C63"/>
    <w:rsid w:val="00554308"/>
    <w:rsid w:val="00554FB2"/>
    <w:rsid w:val="005563FD"/>
    <w:rsid w:val="005569F0"/>
    <w:rsid w:val="005654ED"/>
    <w:rsid w:val="00566BC7"/>
    <w:rsid w:val="0057271F"/>
    <w:rsid w:val="00573CEC"/>
    <w:rsid w:val="0057409A"/>
    <w:rsid w:val="00575E04"/>
    <w:rsid w:val="005762DB"/>
    <w:rsid w:val="00577D17"/>
    <w:rsid w:val="00580D3C"/>
    <w:rsid w:val="00583A9F"/>
    <w:rsid w:val="00583B6D"/>
    <w:rsid w:val="00583C5C"/>
    <w:rsid w:val="005926A0"/>
    <w:rsid w:val="00592926"/>
    <w:rsid w:val="005949A7"/>
    <w:rsid w:val="0059592A"/>
    <w:rsid w:val="0059785E"/>
    <w:rsid w:val="005A53B4"/>
    <w:rsid w:val="005A5737"/>
    <w:rsid w:val="005B03D8"/>
    <w:rsid w:val="005B1674"/>
    <w:rsid w:val="005B3763"/>
    <w:rsid w:val="005B3EBA"/>
    <w:rsid w:val="005B416D"/>
    <w:rsid w:val="005B44B9"/>
    <w:rsid w:val="005B451F"/>
    <w:rsid w:val="005B5D61"/>
    <w:rsid w:val="005B7235"/>
    <w:rsid w:val="005C06FB"/>
    <w:rsid w:val="005C1DB6"/>
    <w:rsid w:val="005C2E40"/>
    <w:rsid w:val="005C2EFD"/>
    <w:rsid w:val="005C64CB"/>
    <w:rsid w:val="005C68B3"/>
    <w:rsid w:val="005C78BA"/>
    <w:rsid w:val="005C7BC0"/>
    <w:rsid w:val="005D0493"/>
    <w:rsid w:val="005D0E9B"/>
    <w:rsid w:val="005D1E5C"/>
    <w:rsid w:val="005D4BDD"/>
    <w:rsid w:val="005D4E42"/>
    <w:rsid w:val="005D52E9"/>
    <w:rsid w:val="005D557A"/>
    <w:rsid w:val="005D688B"/>
    <w:rsid w:val="005D7A0C"/>
    <w:rsid w:val="005E615D"/>
    <w:rsid w:val="005E63F0"/>
    <w:rsid w:val="005E6D2B"/>
    <w:rsid w:val="005E78B4"/>
    <w:rsid w:val="005E7933"/>
    <w:rsid w:val="005F3AC9"/>
    <w:rsid w:val="005F7750"/>
    <w:rsid w:val="00602FB5"/>
    <w:rsid w:val="006039B5"/>
    <w:rsid w:val="00603F09"/>
    <w:rsid w:val="00605033"/>
    <w:rsid w:val="00605F55"/>
    <w:rsid w:val="006060E3"/>
    <w:rsid w:val="00606AA5"/>
    <w:rsid w:val="006070FB"/>
    <w:rsid w:val="00607472"/>
    <w:rsid w:val="00607A94"/>
    <w:rsid w:val="00614F81"/>
    <w:rsid w:val="00622B95"/>
    <w:rsid w:val="0062309A"/>
    <w:rsid w:val="00623308"/>
    <w:rsid w:val="00625931"/>
    <w:rsid w:val="00627406"/>
    <w:rsid w:val="00633F5D"/>
    <w:rsid w:val="00636EB9"/>
    <w:rsid w:val="0064011D"/>
    <w:rsid w:val="00640742"/>
    <w:rsid w:val="00641D8C"/>
    <w:rsid w:val="00642F2A"/>
    <w:rsid w:val="006439F4"/>
    <w:rsid w:val="006451C5"/>
    <w:rsid w:val="00646360"/>
    <w:rsid w:val="00651786"/>
    <w:rsid w:val="00652281"/>
    <w:rsid w:val="00652918"/>
    <w:rsid w:val="00654AD9"/>
    <w:rsid w:val="0065526E"/>
    <w:rsid w:val="00657536"/>
    <w:rsid w:val="006579F0"/>
    <w:rsid w:val="0066008A"/>
    <w:rsid w:val="00660A32"/>
    <w:rsid w:val="00662DA4"/>
    <w:rsid w:val="00662DB8"/>
    <w:rsid w:val="00665620"/>
    <w:rsid w:val="00665828"/>
    <w:rsid w:val="00670C54"/>
    <w:rsid w:val="00670C9F"/>
    <w:rsid w:val="006713EF"/>
    <w:rsid w:val="0067212F"/>
    <w:rsid w:val="0068036A"/>
    <w:rsid w:val="006816EC"/>
    <w:rsid w:val="006846BD"/>
    <w:rsid w:val="00686203"/>
    <w:rsid w:val="00686F39"/>
    <w:rsid w:val="0068719F"/>
    <w:rsid w:val="00687472"/>
    <w:rsid w:val="00687DD7"/>
    <w:rsid w:val="00690E81"/>
    <w:rsid w:val="00693196"/>
    <w:rsid w:val="00695062"/>
    <w:rsid w:val="00695ACA"/>
    <w:rsid w:val="00696D54"/>
    <w:rsid w:val="00697D45"/>
    <w:rsid w:val="006A1C20"/>
    <w:rsid w:val="006A2485"/>
    <w:rsid w:val="006A2DB4"/>
    <w:rsid w:val="006A2F4C"/>
    <w:rsid w:val="006A7903"/>
    <w:rsid w:val="006A7DAB"/>
    <w:rsid w:val="006B03D9"/>
    <w:rsid w:val="006B43F3"/>
    <w:rsid w:val="006C0F07"/>
    <w:rsid w:val="006C3C3F"/>
    <w:rsid w:val="006C52CC"/>
    <w:rsid w:val="006C6FED"/>
    <w:rsid w:val="006D03EF"/>
    <w:rsid w:val="006D189B"/>
    <w:rsid w:val="006D21F6"/>
    <w:rsid w:val="006D5EB7"/>
    <w:rsid w:val="006D6354"/>
    <w:rsid w:val="006D72A2"/>
    <w:rsid w:val="006D7FB5"/>
    <w:rsid w:val="006E0CC5"/>
    <w:rsid w:val="006E2261"/>
    <w:rsid w:val="006E3051"/>
    <w:rsid w:val="006E31CE"/>
    <w:rsid w:val="006E39E2"/>
    <w:rsid w:val="006E4573"/>
    <w:rsid w:val="006E5E26"/>
    <w:rsid w:val="006E6056"/>
    <w:rsid w:val="006E607C"/>
    <w:rsid w:val="006F1E29"/>
    <w:rsid w:val="006F2520"/>
    <w:rsid w:val="00702956"/>
    <w:rsid w:val="007059AE"/>
    <w:rsid w:val="0070639D"/>
    <w:rsid w:val="00706FBF"/>
    <w:rsid w:val="00707363"/>
    <w:rsid w:val="00707445"/>
    <w:rsid w:val="00710C7B"/>
    <w:rsid w:val="00711332"/>
    <w:rsid w:val="00711A65"/>
    <w:rsid w:val="00712686"/>
    <w:rsid w:val="00712A9A"/>
    <w:rsid w:val="0071546B"/>
    <w:rsid w:val="00715633"/>
    <w:rsid w:val="00715AF0"/>
    <w:rsid w:val="00717561"/>
    <w:rsid w:val="00717BAD"/>
    <w:rsid w:val="00717C4F"/>
    <w:rsid w:val="0072052B"/>
    <w:rsid w:val="00724707"/>
    <w:rsid w:val="00724DD4"/>
    <w:rsid w:val="00727ECC"/>
    <w:rsid w:val="00727FE5"/>
    <w:rsid w:val="00730385"/>
    <w:rsid w:val="00730C32"/>
    <w:rsid w:val="007318F5"/>
    <w:rsid w:val="00731B7C"/>
    <w:rsid w:val="00734EA1"/>
    <w:rsid w:val="00735FB7"/>
    <w:rsid w:val="007362A9"/>
    <w:rsid w:val="00741CCB"/>
    <w:rsid w:val="00742F44"/>
    <w:rsid w:val="0074507F"/>
    <w:rsid w:val="00745CCB"/>
    <w:rsid w:val="00747234"/>
    <w:rsid w:val="00751578"/>
    <w:rsid w:val="00751DFE"/>
    <w:rsid w:val="00752C5D"/>
    <w:rsid w:val="0075322A"/>
    <w:rsid w:val="007554A7"/>
    <w:rsid w:val="00756802"/>
    <w:rsid w:val="007642DD"/>
    <w:rsid w:val="007643AE"/>
    <w:rsid w:val="00766EA7"/>
    <w:rsid w:val="0077085D"/>
    <w:rsid w:val="00772164"/>
    <w:rsid w:val="00775CE6"/>
    <w:rsid w:val="00780A2B"/>
    <w:rsid w:val="0078252D"/>
    <w:rsid w:val="00782A69"/>
    <w:rsid w:val="00783454"/>
    <w:rsid w:val="007853A4"/>
    <w:rsid w:val="00785536"/>
    <w:rsid w:val="00794E64"/>
    <w:rsid w:val="00796B08"/>
    <w:rsid w:val="00796F35"/>
    <w:rsid w:val="007A0129"/>
    <w:rsid w:val="007A2EC0"/>
    <w:rsid w:val="007A3641"/>
    <w:rsid w:val="007A3887"/>
    <w:rsid w:val="007A5716"/>
    <w:rsid w:val="007A7707"/>
    <w:rsid w:val="007B4906"/>
    <w:rsid w:val="007B66D2"/>
    <w:rsid w:val="007C1FE8"/>
    <w:rsid w:val="007C31E0"/>
    <w:rsid w:val="007C3C23"/>
    <w:rsid w:val="007C4CAE"/>
    <w:rsid w:val="007C59FE"/>
    <w:rsid w:val="007C617C"/>
    <w:rsid w:val="007D1DA1"/>
    <w:rsid w:val="007D2928"/>
    <w:rsid w:val="007D3A96"/>
    <w:rsid w:val="007D4CFA"/>
    <w:rsid w:val="007D7651"/>
    <w:rsid w:val="007D7B42"/>
    <w:rsid w:val="007E035E"/>
    <w:rsid w:val="007E1309"/>
    <w:rsid w:val="007E135F"/>
    <w:rsid w:val="007E18E8"/>
    <w:rsid w:val="007E1939"/>
    <w:rsid w:val="007E3F95"/>
    <w:rsid w:val="007E4728"/>
    <w:rsid w:val="007F01E6"/>
    <w:rsid w:val="007F03A7"/>
    <w:rsid w:val="007F18DE"/>
    <w:rsid w:val="007F391B"/>
    <w:rsid w:val="007F4407"/>
    <w:rsid w:val="008021E4"/>
    <w:rsid w:val="00803D3A"/>
    <w:rsid w:val="008065B7"/>
    <w:rsid w:val="00806D01"/>
    <w:rsid w:val="00810C80"/>
    <w:rsid w:val="00811D1B"/>
    <w:rsid w:val="008160DF"/>
    <w:rsid w:val="00816153"/>
    <w:rsid w:val="008166F8"/>
    <w:rsid w:val="00816FA7"/>
    <w:rsid w:val="008171AE"/>
    <w:rsid w:val="00817D0C"/>
    <w:rsid w:val="00821AC9"/>
    <w:rsid w:val="0082456A"/>
    <w:rsid w:val="008261C2"/>
    <w:rsid w:val="00826CA5"/>
    <w:rsid w:val="008311A0"/>
    <w:rsid w:val="0083216F"/>
    <w:rsid w:val="008346B9"/>
    <w:rsid w:val="00836328"/>
    <w:rsid w:val="00837097"/>
    <w:rsid w:val="0083745B"/>
    <w:rsid w:val="0084019A"/>
    <w:rsid w:val="00841120"/>
    <w:rsid w:val="00842809"/>
    <w:rsid w:val="00845336"/>
    <w:rsid w:val="00850A28"/>
    <w:rsid w:val="00850F11"/>
    <w:rsid w:val="008510FE"/>
    <w:rsid w:val="0085144A"/>
    <w:rsid w:val="00851D23"/>
    <w:rsid w:val="0085258E"/>
    <w:rsid w:val="00854EBD"/>
    <w:rsid w:val="008574E4"/>
    <w:rsid w:val="0086329F"/>
    <w:rsid w:val="00864037"/>
    <w:rsid w:val="00864155"/>
    <w:rsid w:val="00864631"/>
    <w:rsid w:val="0086488F"/>
    <w:rsid w:val="008777E1"/>
    <w:rsid w:val="00887519"/>
    <w:rsid w:val="00890F2E"/>
    <w:rsid w:val="00891123"/>
    <w:rsid w:val="008913CF"/>
    <w:rsid w:val="008921FC"/>
    <w:rsid w:val="008927EB"/>
    <w:rsid w:val="00895682"/>
    <w:rsid w:val="00895CC1"/>
    <w:rsid w:val="008A10CF"/>
    <w:rsid w:val="008A189F"/>
    <w:rsid w:val="008A2211"/>
    <w:rsid w:val="008A3F52"/>
    <w:rsid w:val="008A4211"/>
    <w:rsid w:val="008A4B56"/>
    <w:rsid w:val="008A6934"/>
    <w:rsid w:val="008B14BA"/>
    <w:rsid w:val="008B468E"/>
    <w:rsid w:val="008B569E"/>
    <w:rsid w:val="008C1349"/>
    <w:rsid w:val="008C245B"/>
    <w:rsid w:val="008C32F7"/>
    <w:rsid w:val="008C3502"/>
    <w:rsid w:val="008C54A8"/>
    <w:rsid w:val="008C5F72"/>
    <w:rsid w:val="008C63E5"/>
    <w:rsid w:val="008C6A44"/>
    <w:rsid w:val="008C75E2"/>
    <w:rsid w:val="008D07C3"/>
    <w:rsid w:val="008D1C74"/>
    <w:rsid w:val="008D3FAD"/>
    <w:rsid w:val="008D57D8"/>
    <w:rsid w:val="008E134A"/>
    <w:rsid w:val="008E2626"/>
    <w:rsid w:val="008E32D6"/>
    <w:rsid w:val="008E50A9"/>
    <w:rsid w:val="008E746E"/>
    <w:rsid w:val="008F3AF2"/>
    <w:rsid w:val="008F3BD5"/>
    <w:rsid w:val="008F47C8"/>
    <w:rsid w:val="008F62A3"/>
    <w:rsid w:val="008F6825"/>
    <w:rsid w:val="00904DE5"/>
    <w:rsid w:val="009076A0"/>
    <w:rsid w:val="00913377"/>
    <w:rsid w:val="00913F7A"/>
    <w:rsid w:val="009163A8"/>
    <w:rsid w:val="00917165"/>
    <w:rsid w:val="00921F3F"/>
    <w:rsid w:val="00923D1B"/>
    <w:rsid w:val="0092578B"/>
    <w:rsid w:val="00925A57"/>
    <w:rsid w:val="00930511"/>
    <w:rsid w:val="0093103D"/>
    <w:rsid w:val="009310B9"/>
    <w:rsid w:val="00932B21"/>
    <w:rsid w:val="009333CC"/>
    <w:rsid w:val="0093529B"/>
    <w:rsid w:val="0094459B"/>
    <w:rsid w:val="00947EBA"/>
    <w:rsid w:val="00952CBB"/>
    <w:rsid w:val="009546F4"/>
    <w:rsid w:val="009546F8"/>
    <w:rsid w:val="009557EB"/>
    <w:rsid w:val="00956CA4"/>
    <w:rsid w:val="00957C24"/>
    <w:rsid w:val="00960A83"/>
    <w:rsid w:val="00962545"/>
    <w:rsid w:val="0096587C"/>
    <w:rsid w:val="00966222"/>
    <w:rsid w:val="0096763F"/>
    <w:rsid w:val="00970855"/>
    <w:rsid w:val="00970DC6"/>
    <w:rsid w:val="009718B3"/>
    <w:rsid w:val="00972E1B"/>
    <w:rsid w:val="00973A4E"/>
    <w:rsid w:val="009751BC"/>
    <w:rsid w:val="0097549E"/>
    <w:rsid w:val="009778EC"/>
    <w:rsid w:val="00977D6F"/>
    <w:rsid w:val="00980C90"/>
    <w:rsid w:val="00984037"/>
    <w:rsid w:val="00984810"/>
    <w:rsid w:val="00984915"/>
    <w:rsid w:val="00984924"/>
    <w:rsid w:val="00985731"/>
    <w:rsid w:val="009868F2"/>
    <w:rsid w:val="009903E8"/>
    <w:rsid w:val="00995459"/>
    <w:rsid w:val="00996068"/>
    <w:rsid w:val="00996B81"/>
    <w:rsid w:val="009970AA"/>
    <w:rsid w:val="009975AF"/>
    <w:rsid w:val="009977C0"/>
    <w:rsid w:val="00997BC0"/>
    <w:rsid w:val="009A1FAB"/>
    <w:rsid w:val="009A31DA"/>
    <w:rsid w:val="009B0344"/>
    <w:rsid w:val="009B5183"/>
    <w:rsid w:val="009B5C46"/>
    <w:rsid w:val="009B615D"/>
    <w:rsid w:val="009B7F8F"/>
    <w:rsid w:val="009C1191"/>
    <w:rsid w:val="009C26A2"/>
    <w:rsid w:val="009C2A98"/>
    <w:rsid w:val="009C45C1"/>
    <w:rsid w:val="009C511D"/>
    <w:rsid w:val="009C7006"/>
    <w:rsid w:val="009D2747"/>
    <w:rsid w:val="009D2A50"/>
    <w:rsid w:val="009D3C2C"/>
    <w:rsid w:val="009D3E0E"/>
    <w:rsid w:val="009E1AEA"/>
    <w:rsid w:val="009E2E63"/>
    <w:rsid w:val="009E39F8"/>
    <w:rsid w:val="009E4E88"/>
    <w:rsid w:val="009E52F9"/>
    <w:rsid w:val="009F20BC"/>
    <w:rsid w:val="009F75A0"/>
    <w:rsid w:val="00A11762"/>
    <w:rsid w:val="00A1394A"/>
    <w:rsid w:val="00A21A52"/>
    <w:rsid w:val="00A21E97"/>
    <w:rsid w:val="00A2291F"/>
    <w:rsid w:val="00A233AB"/>
    <w:rsid w:val="00A257D7"/>
    <w:rsid w:val="00A30329"/>
    <w:rsid w:val="00A30356"/>
    <w:rsid w:val="00A32093"/>
    <w:rsid w:val="00A32290"/>
    <w:rsid w:val="00A36793"/>
    <w:rsid w:val="00A37032"/>
    <w:rsid w:val="00A37D19"/>
    <w:rsid w:val="00A40BC9"/>
    <w:rsid w:val="00A410D5"/>
    <w:rsid w:val="00A41784"/>
    <w:rsid w:val="00A41878"/>
    <w:rsid w:val="00A42936"/>
    <w:rsid w:val="00A45FFF"/>
    <w:rsid w:val="00A473AE"/>
    <w:rsid w:val="00A5027B"/>
    <w:rsid w:val="00A503EC"/>
    <w:rsid w:val="00A50E93"/>
    <w:rsid w:val="00A50F05"/>
    <w:rsid w:val="00A538E0"/>
    <w:rsid w:val="00A61C23"/>
    <w:rsid w:val="00A631FF"/>
    <w:rsid w:val="00A644DD"/>
    <w:rsid w:val="00A6682E"/>
    <w:rsid w:val="00A66AB7"/>
    <w:rsid w:val="00A71230"/>
    <w:rsid w:val="00A71DAA"/>
    <w:rsid w:val="00A72BB2"/>
    <w:rsid w:val="00A74694"/>
    <w:rsid w:val="00A75551"/>
    <w:rsid w:val="00A766E2"/>
    <w:rsid w:val="00A77F66"/>
    <w:rsid w:val="00A8140E"/>
    <w:rsid w:val="00A81B1C"/>
    <w:rsid w:val="00A82E05"/>
    <w:rsid w:val="00A834AC"/>
    <w:rsid w:val="00A86230"/>
    <w:rsid w:val="00A916C5"/>
    <w:rsid w:val="00A918DE"/>
    <w:rsid w:val="00A94445"/>
    <w:rsid w:val="00A949F2"/>
    <w:rsid w:val="00A95853"/>
    <w:rsid w:val="00AA02B8"/>
    <w:rsid w:val="00AA1107"/>
    <w:rsid w:val="00AA2F50"/>
    <w:rsid w:val="00AA324A"/>
    <w:rsid w:val="00AA5271"/>
    <w:rsid w:val="00AA6E65"/>
    <w:rsid w:val="00AA7114"/>
    <w:rsid w:val="00AB1C7D"/>
    <w:rsid w:val="00AB1E3D"/>
    <w:rsid w:val="00AB3024"/>
    <w:rsid w:val="00AB30C5"/>
    <w:rsid w:val="00AB3D57"/>
    <w:rsid w:val="00AB3D83"/>
    <w:rsid w:val="00AC1766"/>
    <w:rsid w:val="00AC190C"/>
    <w:rsid w:val="00AC2B37"/>
    <w:rsid w:val="00AC55EE"/>
    <w:rsid w:val="00AC5ABA"/>
    <w:rsid w:val="00AC75AC"/>
    <w:rsid w:val="00AC75B7"/>
    <w:rsid w:val="00AD1C88"/>
    <w:rsid w:val="00AD2D12"/>
    <w:rsid w:val="00AD57C5"/>
    <w:rsid w:val="00AD76F9"/>
    <w:rsid w:val="00AE69F4"/>
    <w:rsid w:val="00AF08CA"/>
    <w:rsid w:val="00AF1BC9"/>
    <w:rsid w:val="00AF4B73"/>
    <w:rsid w:val="00AF580B"/>
    <w:rsid w:val="00B010B5"/>
    <w:rsid w:val="00B02B91"/>
    <w:rsid w:val="00B0492E"/>
    <w:rsid w:val="00B0640B"/>
    <w:rsid w:val="00B06F49"/>
    <w:rsid w:val="00B123F4"/>
    <w:rsid w:val="00B12FAE"/>
    <w:rsid w:val="00B1568E"/>
    <w:rsid w:val="00B16382"/>
    <w:rsid w:val="00B17A18"/>
    <w:rsid w:val="00B258F0"/>
    <w:rsid w:val="00B30BF1"/>
    <w:rsid w:val="00B30F94"/>
    <w:rsid w:val="00B31359"/>
    <w:rsid w:val="00B34E8B"/>
    <w:rsid w:val="00B355C9"/>
    <w:rsid w:val="00B37DA8"/>
    <w:rsid w:val="00B40EBE"/>
    <w:rsid w:val="00B41B58"/>
    <w:rsid w:val="00B429F3"/>
    <w:rsid w:val="00B43051"/>
    <w:rsid w:val="00B441DE"/>
    <w:rsid w:val="00B44EEF"/>
    <w:rsid w:val="00B45D4C"/>
    <w:rsid w:val="00B50366"/>
    <w:rsid w:val="00B53102"/>
    <w:rsid w:val="00B57FD1"/>
    <w:rsid w:val="00B616B0"/>
    <w:rsid w:val="00B6314A"/>
    <w:rsid w:val="00B67F50"/>
    <w:rsid w:val="00B71E6F"/>
    <w:rsid w:val="00B71FF4"/>
    <w:rsid w:val="00B7244F"/>
    <w:rsid w:val="00B73FF0"/>
    <w:rsid w:val="00B74AA4"/>
    <w:rsid w:val="00B752FA"/>
    <w:rsid w:val="00B82E5A"/>
    <w:rsid w:val="00B83B7A"/>
    <w:rsid w:val="00B84335"/>
    <w:rsid w:val="00B85C31"/>
    <w:rsid w:val="00B86004"/>
    <w:rsid w:val="00B86057"/>
    <w:rsid w:val="00B86DA8"/>
    <w:rsid w:val="00B870A3"/>
    <w:rsid w:val="00BA1C81"/>
    <w:rsid w:val="00BA1CB1"/>
    <w:rsid w:val="00BA32B3"/>
    <w:rsid w:val="00BA3467"/>
    <w:rsid w:val="00BA5354"/>
    <w:rsid w:val="00BB01B2"/>
    <w:rsid w:val="00BB01B8"/>
    <w:rsid w:val="00BB0E21"/>
    <w:rsid w:val="00BB1265"/>
    <w:rsid w:val="00BB12D1"/>
    <w:rsid w:val="00BB1EF0"/>
    <w:rsid w:val="00BB22D9"/>
    <w:rsid w:val="00BB2F31"/>
    <w:rsid w:val="00BB4927"/>
    <w:rsid w:val="00BB52D3"/>
    <w:rsid w:val="00BB6690"/>
    <w:rsid w:val="00BC116A"/>
    <w:rsid w:val="00BC1950"/>
    <w:rsid w:val="00BC268E"/>
    <w:rsid w:val="00BC2EB3"/>
    <w:rsid w:val="00BC3BBA"/>
    <w:rsid w:val="00BC4332"/>
    <w:rsid w:val="00BC5E8D"/>
    <w:rsid w:val="00BC6CA0"/>
    <w:rsid w:val="00BD09FB"/>
    <w:rsid w:val="00BD1105"/>
    <w:rsid w:val="00BD2759"/>
    <w:rsid w:val="00BD30F0"/>
    <w:rsid w:val="00BE032C"/>
    <w:rsid w:val="00BE141E"/>
    <w:rsid w:val="00BE4539"/>
    <w:rsid w:val="00BE658C"/>
    <w:rsid w:val="00BE70FF"/>
    <w:rsid w:val="00BE7A31"/>
    <w:rsid w:val="00BF1808"/>
    <w:rsid w:val="00BF1880"/>
    <w:rsid w:val="00BF3CF9"/>
    <w:rsid w:val="00BF5C9E"/>
    <w:rsid w:val="00BF6376"/>
    <w:rsid w:val="00BF764F"/>
    <w:rsid w:val="00C00364"/>
    <w:rsid w:val="00C01D2F"/>
    <w:rsid w:val="00C02540"/>
    <w:rsid w:val="00C028F1"/>
    <w:rsid w:val="00C04138"/>
    <w:rsid w:val="00C051EB"/>
    <w:rsid w:val="00C0640D"/>
    <w:rsid w:val="00C06F28"/>
    <w:rsid w:val="00C07651"/>
    <w:rsid w:val="00C12875"/>
    <w:rsid w:val="00C14F61"/>
    <w:rsid w:val="00C2259D"/>
    <w:rsid w:val="00C2287E"/>
    <w:rsid w:val="00C2310D"/>
    <w:rsid w:val="00C23CEC"/>
    <w:rsid w:val="00C23F8C"/>
    <w:rsid w:val="00C258DB"/>
    <w:rsid w:val="00C27A04"/>
    <w:rsid w:val="00C33533"/>
    <w:rsid w:val="00C40D3D"/>
    <w:rsid w:val="00C41849"/>
    <w:rsid w:val="00C41C17"/>
    <w:rsid w:val="00C436A5"/>
    <w:rsid w:val="00C45A2A"/>
    <w:rsid w:val="00C45B53"/>
    <w:rsid w:val="00C51397"/>
    <w:rsid w:val="00C52C43"/>
    <w:rsid w:val="00C55C73"/>
    <w:rsid w:val="00C5641D"/>
    <w:rsid w:val="00C578D1"/>
    <w:rsid w:val="00C62E96"/>
    <w:rsid w:val="00C6354C"/>
    <w:rsid w:val="00C6550B"/>
    <w:rsid w:val="00C65FDE"/>
    <w:rsid w:val="00C67060"/>
    <w:rsid w:val="00C67FC1"/>
    <w:rsid w:val="00C7056F"/>
    <w:rsid w:val="00C70B9F"/>
    <w:rsid w:val="00C70DD0"/>
    <w:rsid w:val="00C71274"/>
    <w:rsid w:val="00C818AF"/>
    <w:rsid w:val="00C82A46"/>
    <w:rsid w:val="00C82C4C"/>
    <w:rsid w:val="00C835D6"/>
    <w:rsid w:val="00C84345"/>
    <w:rsid w:val="00C846A1"/>
    <w:rsid w:val="00C912BE"/>
    <w:rsid w:val="00C9136D"/>
    <w:rsid w:val="00C9634C"/>
    <w:rsid w:val="00CA152E"/>
    <w:rsid w:val="00CA3B05"/>
    <w:rsid w:val="00CA5711"/>
    <w:rsid w:val="00CA7469"/>
    <w:rsid w:val="00CB00E9"/>
    <w:rsid w:val="00CB05AA"/>
    <w:rsid w:val="00CB4D8E"/>
    <w:rsid w:val="00CB547E"/>
    <w:rsid w:val="00CB582C"/>
    <w:rsid w:val="00CC01FD"/>
    <w:rsid w:val="00CC25D5"/>
    <w:rsid w:val="00CD2B63"/>
    <w:rsid w:val="00CD517B"/>
    <w:rsid w:val="00CE0296"/>
    <w:rsid w:val="00CE2915"/>
    <w:rsid w:val="00CE3B85"/>
    <w:rsid w:val="00CE4F24"/>
    <w:rsid w:val="00CE61F2"/>
    <w:rsid w:val="00CF0C6F"/>
    <w:rsid w:val="00CF0FC6"/>
    <w:rsid w:val="00CF2177"/>
    <w:rsid w:val="00CF6740"/>
    <w:rsid w:val="00CF753A"/>
    <w:rsid w:val="00CF7C20"/>
    <w:rsid w:val="00D019DA"/>
    <w:rsid w:val="00D02C5C"/>
    <w:rsid w:val="00D05159"/>
    <w:rsid w:val="00D0787D"/>
    <w:rsid w:val="00D07E00"/>
    <w:rsid w:val="00D12213"/>
    <w:rsid w:val="00D14E1B"/>
    <w:rsid w:val="00D16DD9"/>
    <w:rsid w:val="00D1707D"/>
    <w:rsid w:val="00D219E3"/>
    <w:rsid w:val="00D23198"/>
    <w:rsid w:val="00D23E54"/>
    <w:rsid w:val="00D27651"/>
    <w:rsid w:val="00D27A2D"/>
    <w:rsid w:val="00D309F5"/>
    <w:rsid w:val="00D3105B"/>
    <w:rsid w:val="00D34E0B"/>
    <w:rsid w:val="00D3569F"/>
    <w:rsid w:val="00D359C2"/>
    <w:rsid w:val="00D35C6B"/>
    <w:rsid w:val="00D3608B"/>
    <w:rsid w:val="00D41572"/>
    <w:rsid w:val="00D444E8"/>
    <w:rsid w:val="00D44B62"/>
    <w:rsid w:val="00D44E98"/>
    <w:rsid w:val="00D45AC8"/>
    <w:rsid w:val="00D467F1"/>
    <w:rsid w:val="00D4682B"/>
    <w:rsid w:val="00D46C87"/>
    <w:rsid w:val="00D55350"/>
    <w:rsid w:val="00D55B54"/>
    <w:rsid w:val="00D57A92"/>
    <w:rsid w:val="00D57E52"/>
    <w:rsid w:val="00D6193B"/>
    <w:rsid w:val="00D638F8"/>
    <w:rsid w:val="00D66BDE"/>
    <w:rsid w:val="00D67163"/>
    <w:rsid w:val="00D7003C"/>
    <w:rsid w:val="00D74632"/>
    <w:rsid w:val="00D75285"/>
    <w:rsid w:val="00D75555"/>
    <w:rsid w:val="00D75776"/>
    <w:rsid w:val="00D75CB7"/>
    <w:rsid w:val="00D7602A"/>
    <w:rsid w:val="00D76524"/>
    <w:rsid w:val="00D76A67"/>
    <w:rsid w:val="00D7763D"/>
    <w:rsid w:val="00D77F65"/>
    <w:rsid w:val="00D81380"/>
    <w:rsid w:val="00D84381"/>
    <w:rsid w:val="00D844E3"/>
    <w:rsid w:val="00D907FA"/>
    <w:rsid w:val="00D9263F"/>
    <w:rsid w:val="00D92812"/>
    <w:rsid w:val="00D92AAE"/>
    <w:rsid w:val="00D9369E"/>
    <w:rsid w:val="00D96D56"/>
    <w:rsid w:val="00D9705A"/>
    <w:rsid w:val="00DA250B"/>
    <w:rsid w:val="00DA40E2"/>
    <w:rsid w:val="00DA5716"/>
    <w:rsid w:val="00DA57FB"/>
    <w:rsid w:val="00DA7C9E"/>
    <w:rsid w:val="00DB1E80"/>
    <w:rsid w:val="00DB343C"/>
    <w:rsid w:val="00DB3BCF"/>
    <w:rsid w:val="00DB42E2"/>
    <w:rsid w:val="00DB66E3"/>
    <w:rsid w:val="00DB7CC5"/>
    <w:rsid w:val="00DC107D"/>
    <w:rsid w:val="00DC1104"/>
    <w:rsid w:val="00DC3732"/>
    <w:rsid w:val="00DC380A"/>
    <w:rsid w:val="00DD049D"/>
    <w:rsid w:val="00DD1E6B"/>
    <w:rsid w:val="00DD2B3C"/>
    <w:rsid w:val="00DD3C63"/>
    <w:rsid w:val="00DD5BB1"/>
    <w:rsid w:val="00DD738B"/>
    <w:rsid w:val="00DD7EA7"/>
    <w:rsid w:val="00DE6F9C"/>
    <w:rsid w:val="00DF4C23"/>
    <w:rsid w:val="00DF6054"/>
    <w:rsid w:val="00DF70AF"/>
    <w:rsid w:val="00E01FE9"/>
    <w:rsid w:val="00E03D1D"/>
    <w:rsid w:val="00E12915"/>
    <w:rsid w:val="00E1485E"/>
    <w:rsid w:val="00E21BC9"/>
    <w:rsid w:val="00E21BE8"/>
    <w:rsid w:val="00E23E2B"/>
    <w:rsid w:val="00E247CD"/>
    <w:rsid w:val="00E25B2C"/>
    <w:rsid w:val="00E2698B"/>
    <w:rsid w:val="00E33A22"/>
    <w:rsid w:val="00E3574D"/>
    <w:rsid w:val="00E402A2"/>
    <w:rsid w:val="00E40B2D"/>
    <w:rsid w:val="00E421BF"/>
    <w:rsid w:val="00E4265A"/>
    <w:rsid w:val="00E45FEF"/>
    <w:rsid w:val="00E47E0E"/>
    <w:rsid w:val="00E50392"/>
    <w:rsid w:val="00E52BB4"/>
    <w:rsid w:val="00E52C4B"/>
    <w:rsid w:val="00E54261"/>
    <w:rsid w:val="00E54849"/>
    <w:rsid w:val="00E5578D"/>
    <w:rsid w:val="00E56C2B"/>
    <w:rsid w:val="00E56FF6"/>
    <w:rsid w:val="00E57208"/>
    <w:rsid w:val="00E60425"/>
    <w:rsid w:val="00E605D2"/>
    <w:rsid w:val="00E614E7"/>
    <w:rsid w:val="00E61AE4"/>
    <w:rsid w:val="00E6267E"/>
    <w:rsid w:val="00E638C9"/>
    <w:rsid w:val="00E67B23"/>
    <w:rsid w:val="00E704E4"/>
    <w:rsid w:val="00E71020"/>
    <w:rsid w:val="00E71BD8"/>
    <w:rsid w:val="00E7215F"/>
    <w:rsid w:val="00E73A86"/>
    <w:rsid w:val="00E74AF7"/>
    <w:rsid w:val="00E776C2"/>
    <w:rsid w:val="00E805DB"/>
    <w:rsid w:val="00E808CA"/>
    <w:rsid w:val="00E81A76"/>
    <w:rsid w:val="00E867CC"/>
    <w:rsid w:val="00E87CEB"/>
    <w:rsid w:val="00E95A13"/>
    <w:rsid w:val="00E97468"/>
    <w:rsid w:val="00EA1231"/>
    <w:rsid w:val="00EA3BD2"/>
    <w:rsid w:val="00EA6919"/>
    <w:rsid w:val="00EB02B0"/>
    <w:rsid w:val="00EB0BE7"/>
    <w:rsid w:val="00EB11F4"/>
    <w:rsid w:val="00EB1D8C"/>
    <w:rsid w:val="00EB2575"/>
    <w:rsid w:val="00EB26E9"/>
    <w:rsid w:val="00EB3882"/>
    <w:rsid w:val="00EB46C9"/>
    <w:rsid w:val="00EB4C93"/>
    <w:rsid w:val="00EB5B77"/>
    <w:rsid w:val="00EB6D63"/>
    <w:rsid w:val="00EC110D"/>
    <w:rsid w:val="00EC4DE3"/>
    <w:rsid w:val="00EC6D32"/>
    <w:rsid w:val="00ED046B"/>
    <w:rsid w:val="00ED0B4A"/>
    <w:rsid w:val="00ED2059"/>
    <w:rsid w:val="00ED369F"/>
    <w:rsid w:val="00ED39A1"/>
    <w:rsid w:val="00ED41B6"/>
    <w:rsid w:val="00ED4E02"/>
    <w:rsid w:val="00ED59DD"/>
    <w:rsid w:val="00ED7461"/>
    <w:rsid w:val="00EE0E75"/>
    <w:rsid w:val="00EE367A"/>
    <w:rsid w:val="00EE370B"/>
    <w:rsid w:val="00EE47B8"/>
    <w:rsid w:val="00EE7D01"/>
    <w:rsid w:val="00EF05CB"/>
    <w:rsid w:val="00EF1AA9"/>
    <w:rsid w:val="00EF3D12"/>
    <w:rsid w:val="00F02356"/>
    <w:rsid w:val="00F03BC3"/>
    <w:rsid w:val="00F041C6"/>
    <w:rsid w:val="00F11B0B"/>
    <w:rsid w:val="00F13578"/>
    <w:rsid w:val="00F159B1"/>
    <w:rsid w:val="00F21D98"/>
    <w:rsid w:val="00F24297"/>
    <w:rsid w:val="00F2484D"/>
    <w:rsid w:val="00F24C21"/>
    <w:rsid w:val="00F30578"/>
    <w:rsid w:val="00F329A5"/>
    <w:rsid w:val="00F33DCC"/>
    <w:rsid w:val="00F35DD0"/>
    <w:rsid w:val="00F36677"/>
    <w:rsid w:val="00F368A4"/>
    <w:rsid w:val="00F40897"/>
    <w:rsid w:val="00F40A77"/>
    <w:rsid w:val="00F41B1A"/>
    <w:rsid w:val="00F4306A"/>
    <w:rsid w:val="00F431BD"/>
    <w:rsid w:val="00F4686A"/>
    <w:rsid w:val="00F46B4C"/>
    <w:rsid w:val="00F47065"/>
    <w:rsid w:val="00F50843"/>
    <w:rsid w:val="00F50EA1"/>
    <w:rsid w:val="00F51065"/>
    <w:rsid w:val="00F54254"/>
    <w:rsid w:val="00F5474D"/>
    <w:rsid w:val="00F54F77"/>
    <w:rsid w:val="00F55BCA"/>
    <w:rsid w:val="00F56C23"/>
    <w:rsid w:val="00F56CFC"/>
    <w:rsid w:val="00F57D52"/>
    <w:rsid w:val="00F60457"/>
    <w:rsid w:val="00F6120A"/>
    <w:rsid w:val="00F61BBA"/>
    <w:rsid w:val="00F61E29"/>
    <w:rsid w:val="00F644A8"/>
    <w:rsid w:val="00F64E79"/>
    <w:rsid w:val="00F67EAE"/>
    <w:rsid w:val="00F7186E"/>
    <w:rsid w:val="00F75438"/>
    <w:rsid w:val="00F77329"/>
    <w:rsid w:val="00F80F63"/>
    <w:rsid w:val="00F81641"/>
    <w:rsid w:val="00F81B15"/>
    <w:rsid w:val="00F83EA3"/>
    <w:rsid w:val="00F83EA8"/>
    <w:rsid w:val="00F83F74"/>
    <w:rsid w:val="00F87F1C"/>
    <w:rsid w:val="00F90D6C"/>
    <w:rsid w:val="00F91EE3"/>
    <w:rsid w:val="00F91FAF"/>
    <w:rsid w:val="00F93513"/>
    <w:rsid w:val="00F940C9"/>
    <w:rsid w:val="00F955D0"/>
    <w:rsid w:val="00F95C19"/>
    <w:rsid w:val="00F96036"/>
    <w:rsid w:val="00FA1754"/>
    <w:rsid w:val="00FA26BB"/>
    <w:rsid w:val="00FA42DA"/>
    <w:rsid w:val="00FA5B92"/>
    <w:rsid w:val="00FA6629"/>
    <w:rsid w:val="00FA68D4"/>
    <w:rsid w:val="00FA68FE"/>
    <w:rsid w:val="00FB3B1F"/>
    <w:rsid w:val="00FB3C5A"/>
    <w:rsid w:val="00FB3D46"/>
    <w:rsid w:val="00FB3F57"/>
    <w:rsid w:val="00FB497C"/>
    <w:rsid w:val="00FB560F"/>
    <w:rsid w:val="00FB64BF"/>
    <w:rsid w:val="00FC08D5"/>
    <w:rsid w:val="00FC3BFC"/>
    <w:rsid w:val="00FC705A"/>
    <w:rsid w:val="00FD0CE9"/>
    <w:rsid w:val="00FD2DCF"/>
    <w:rsid w:val="00FD3035"/>
    <w:rsid w:val="00FD38FA"/>
    <w:rsid w:val="00FD78DF"/>
    <w:rsid w:val="00FE2D18"/>
    <w:rsid w:val="00FE5851"/>
    <w:rsid w:val="00FE61F1"/>
    <w:rsid w:val="00FF151D"/>
    <w:rsid w:val="00FF2C80"/>
    <w:rsid w:val="00FF3642"/>
    <w:rsid w:val="00FF4C98"/>
    <w:rsid w:val="00FF679F"/>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 w:type="paragraph" w:styleId="NoSpacing">
    <w:name w:val="No Spacing"/>
    <w:uiPriority w:val="1"/>
    <w:qFormat/>
    <w:rsid w:val="00AD1C88"/>
    <w:rPr>
      <w:rFonts w:asciiTheme="minorHAnsi" w:eastAsiaTheme="minorHAnsi" w:hAnsiTheme="minorHAnsi" w:cstheme="minorBidi"/>
      <w:sz w:val="22"/>
      <w:szCs w:val="22"/>
    </w:rPr>
  </w:style>
  <w:style w:type="character" w:customStyle="1" w:styleId="il">
    <w:name w:val="il"/>
    <w:basedOn w:val="DefaultParagraphFont"/>
    <w:rsid w:val="00831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 w:type="paragraph" w:styleId="NoSpacing">
    <w:name w:val="No Spacing"/>
    <w:uiPriority w:val="1"/>
    <w:qFormat/>
    <w:rsid w:val="00AD1C88"/>
    <w:rPr>
      <w:rFonts w:asciiTheme="minorHAnsi" w:eastAsiaTheme="minorHAnsi" w:hAnsiTheme="minorHAnsi" w:cstheme="minorBidi"/>
      <w:sz w:val="22"/>
      <w:szCs w:val="22"/>
    </w:rPr>
  </w:style>
  <w:style w:type="character" w:customStyle="1" w:styleId="il">
    <w:name w:val="il"/>
    <w:basedOn w:val="DefaultParagraphFont"/>
    <w:rsid w:val="00831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989095577">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a.virginia.gov/reference/payroll/CIPPS_Intro_Training/Manual_Pays_Advanced_Masterfile_Maintenance_Handou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oa.virginia.gov/forms/Payroll/QuarterlyCertForm.xls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a.virginia.gov/forms/Payroll/EmployeeAdjustmentForm.xls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ayroll@doa.virginia.gov" TargetMode="External"/><Relationship Id="rId4" Type="http://schemas.microsoft.com/office/2007/relationships/stylesWithEffects" Target="stylesWithEffects.xml"/><Relationship Id="rId9" Type="http://schemas.openxmlformats.org/officeDocument/2006/relationships/hyperlink" Target="mailto:cathy.mcgill@doa.virginia.gov" TargetMode="External"/><Relationship Id="rId14" Type="http://schemas.openxmlformats.org/officeDocument/2006/relationships/hyperlink" Target="mailto:payroll@doa.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481B6-2BDB-4357-BAA4-9D23BF15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0</TotalTime>
  <Pages>6</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Payroll Bulletin 2015-12</vt:lpstr>
    </vt:vector>
  </TitlesOfParts>
  <Company>Virginia Department of Accounts</Company>
  <LinksUpToDate>false</LinksUpToDate>
  <CharactersWithSpaces>15508</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2015-12</dc:title>
  <dc:subject>Payroll Bulletin 2015-12</dc:subject>
  <dc:creator>McGill, Cathy (DOA)</dc:creator>
  <cp:keywords>Payroll Bulletin 2015-12</cp:keywords>
  <dc:description>Payroll Bulletin 2015-12</dc:description>
  <cp:lastModifiedBy>Attuso, Diana (DOA)</cp:lastModifiedBy>
  <cp:revision>2</cp:revision>
  <cp:lastPrinted>2019-03-14T12:13:00Z</cp:lastPrinted>
  <dcterms:created xsi:type="dcterms:W3CDTF">2019-03-29T14:58:00Z</dcterms:created>
  <dcterms:modified xsi:type="dcterms:W3CDTF">2019-03-29T14:58:00Z</dcterms:modified>
  <cp:category>Payroll Bulletin 2015-12</cp:category>
</cp:coreProperties>
</file>