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7C" w:rsidRDefault="007C617C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Department of Accounts</w:t>
      </w:r>
    </w:p>
    <w:p w:rsidR="007C617C" w:rsidRDefault="007C617C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7C617C" w:rsidRDefault="007C617C">
      <w:pPr>
        <w:pStyle w:val="Header"/>
        <w:jc w:val="center"/>
        <w:rPr>
          <w:sz w:val="16"/>
        </w:rPr>
      </w:pPr>
    </w:p>
    <w:tbl>
      <w:tblPr>
        <w:tblW w:w="10998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3456"/>
        <w:gridCol w:w="3366"/>
        <w:gridCol w:w="4176"/>
      </w:tblGrid>
      <w:tr w:rsidR="007C617C" w:rsidTr="00490FDE">
        <w:trPr>
          <w:cantSplit/>
        </w:trPr>
        <w:tc>
          <w:tcPr>
            <w:tcW w:w="3456" w:type="dxa"/>
            <w:tcBorders>
              <w:bottom w:val="double" w:sz="6" w:space="0" w:color="auto"/>
            </w:tcBorders>
          </w:tcPr>
          <w:p w:rsidR="007C617C" w:rsidRDefault="007C617C" w:rsidP="00651786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304474">
              <w:rPr>
                <w:b/>
                <w:sz w:val="20"/>
              </w:rPr>
              <w:t>201</w:t>
            </w:r>
            <w:r w:rsidR="008B468E">
              <w:rPr>
                <w:b/>
                <w:sz w:val="20"/>
              </w:rPr>
              <w:t>9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7C617C" w:rsidRDefault="00621212" w:rsidP="00621212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September 06</w:t>
            </w:r>
            <w:r w:rsidR="00ED2487">
              <w:rPr>
                <w:b/>
                <w:sz w:val="20"/>
              </w:rPr>
              <w:t>, 2019</w:t>
            </w:r>
          </w:p>
        </w:tc>
        <w:tc>
          <w:tcPr>
            <w:tcW w:w="4176" w:type="dxa"/>
            <w:tcBorders>
              <w:bottom w:val="double" w:sz="6" w:space="0" w:color="auto"/>
            </w:tcBorders>
          </w:tcPr>
          <w:p w:rsidR="007C617C" w:rsidRDefault="007C617C" w:rsidP="00860DEB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304474">
              <w:rPr>
                <w:b/>
                <w:sz w:val="20"/>
              </w:rPr>
              <w:t>201</w:t>
            </w:r>
            <w:r w:rsidR="008B468E">
              <w:rPr>
                <w:b/>
                <w:sz w:val="20"/>
              </w:rPr>
              <w:t>9</w:t>
            </w:r>
            <w:r w:rsidR="00304474">
              <w:rPr>
                <w:b/>
                <w:sz w:val="20"/>
              </w:rPr>
              <w:t>-</w:t>
            </w:r>
            <w:r w:rsidR="00ED0250">
              <w:rPr>
                <w:b/>
                <w:sz w:val="20"/>
              </w:rPr>
              <w:t>0</w:t>
            </w:r>
            <w:r w:rsidR="00860DEB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ED0B4A" w:rsidRPr="00D467F1" w:rsidRDefault="00ED0B4A" w:rsidP="00ED0B4A">
      <w:pPr>
        <w:rPr>
          <w:sz w:val="16"/>
          <w:szCs w:val="16"/>
        </w:rPr>
      </w:pPr>
    </w:p>
    <w:tbl>
      <w:tblPr>
        <w:tblW w:w="11109" w:type="dxa"/>
        <w:jc w:val="center"/>
        <w:tblLook w:val="01E0" w:firstRow="1" w:lastRow="1" w:firstColumn="1" w:lastColumn="1" w:noHBand="0" w:noVBand="0"/>
      </w:tblPr>
      <w:tblGrid>
        <w:gridCol w:w="2414"/>
        <w:gridCol w:w="4522"/>
        <w:gridCol w:w="4173"/>
      </w:tblGrid>
      <w:tr w:rsidR="002775F4" w:rsidTr="00C70B9F">
        <w:trPr>
          <w:trHeight w:val="2595"/>
          <w:jc w:val="center"/>
        </w:trPr>
        <w:tc>
          <w:tcPr>
            <w:tcW w:w="2414" w:type="dxa"/>
          </w:tcPr>
          <w:p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E6267E">
              <w:rPr>
                <w:i/>
                <w:sz w:val="32"/>
                <w:szCs w:val="32"/>
              </w:rPr>
              <w:t>In This Issue of the Payroll Bulletin…....</w:t>
            </w:r>
          </w:p>
          <w:p w:rsidR="002775F4" w:rsidRPr="00E6267E" w:rsidRDefault="002775F4" w:rsidP="00E6267E">
            <w:pPr>
              <w:spacing w:before="120"/>
              <w:rPr>
                <w:b/>
              </w:rPr>
            </w:pPr>
          </w:p>
        </w:tc>
        <w:tc>
          <w:tcPr>
            <w:tcW w:w="4522" w:type="dxa"/>
          </w:tcPr>
          <w:p w:rsidR="00BA2CE4" w:rsidRDefault="00BA2CE4" w:rsidP="00322F97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</w:rPr>
            </w:pPr>
            <w:r>
              <w:rPr>
                <w:b/>
              </w:rPr>
              <w:t>Direct Deposit Security</w:t>
            </w:r>
          </w:p>
          <w:p w:rsidR="00322F97" w:rsidRDefault="00322F97" w:rsidP="00322F97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</w:rPr>
            </w:pPr>
            <w:r>
              <w:rPr>
                <w:b/>
              </w:rPr>
              <w:t>Requests</w:t>
            </w:r>
            <w:r w:rsidR="008120D3">
              <w:rPr>
                <w:b/>
              </w:rPr>
              <w:t xml:space="preserve"> for Changes to W2s</w:t>
            </w:r>
          </w:p>
          <w:p w:rsidR="00637322" w:rsidRDefault="00086F3B" w:rsidP="00BA2CE4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</w:rPr>
            </w:pPr>
            <w:r>
              <w:rPr>
                <w:b/>
              </w:rPr>
              <w:t>Change in Refunding Employee Healthcare Premiums</w:t>
            </w:r>
          </w:p>
          <w:p w:rsidR="00154F97" w:rsidRDefault="00154F97" w:rsidP="00BA2CE4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</w:rPr>
            </w:pPr>
            <w:r>
              <w:rPr>
                <w:b/>
              </w:rPr>
              <w:t>VRS Hybrid Recons</w:t>
            </w:r>
          </w:p>
          <w:p w:rsidR="00154F97" w:rsidRDefault="00154F97" w:rsidP="00BA2CE4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</w:rPr>
            </w:pPr>
            <w:r>
              <w:rPr>
                <w:b/>
              </w:rPr>
              <w:t>Premium Holiday</w:t>
            </w:r>
          </w:p>
          <w:p w:rsidR="00821AC9" w:rsidRPr="00E10F68" w:rsidRDefault="00E10F68" w:rsidP="00E10F68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</w:rPr>
            </w:pPr>
            <w:r>
              <w:rPr>
                <w:b/>
              </w:rPr>
              <w:t>Employee Position Numbers</w:t>
            </w:r>
          </w:p>
        </w:tc>
        <w:tc>
          <w:tcPr>
            <w:tcW w:w="4173" w:type="dxa"/>
          </w:tcPr>
          <w:p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E6267E">
              <w:rPr>
                <w:sz w:val="20"/>
              </w:rPr>
              <w:t xml:space="preserve">The Payroll Bulletin is published periodically to provide CIPPS agencies guidance regarding Commonwealth payroll operations.  If you have any questions about the bulletin, please call Cathy McGill at (804) </w:t>
            </w:r>
            <w:r w:rsidR="003655B0">
              <w:rPr>
                <w:sz w:val="20"/>
              </w:rPr>
              <w:t>225</w:t>
            </w:r>
            <w:r w:rsidRPr="00E6267E">
              <w:rPr>
                <w:sz w:val="20"/>
              </w:rPr>
              <w:t>-</w:t>
            </w:r>
            <w:r w:rsidR="003655B0">
              <w:rPr>
                <w:sz w:val="20"/>
              </w:rPr>
              <w:t>2245</w:t>
            </w:r>
            <w:r w:rsidRPr="00E6267E">
              <w:rPr>
                <w:sz w:val="20"/>
              </w:rPr>
              <w:t xml:space="preserve"> or Email at </w:t>
            </w:r>
            <w:hyperlink r:id="rId8" w:history="1">
              <w:r w:rsidRPr="00E6267E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2775F4" w:rsidRPr="00E6267E" w:rsidRDefault="002775F4" w:rsidP="00E6267E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E6267E">
              <w:rPr>
                <w:sz w:val="20"/>
                <w:u w:val="single"/>
              </w:rPr>
              <w:t>State Payroll Operations</w:t>
            </w:r>
          </w:p>
          <w:p w:rsidR="002775F4" w:rsidRPr="00D94EC5" w:rsidRDefault="002775F4" w:rsidP="00E6267E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D94EC5">
              <w:rPr>
                <w:sz w:val="20"/>
              </w:rPr>
              <w:t xml:space="preserve">Director                         </w:t>
            </w:r>
            <w:r w:rsidR="00D23198" w:rsidRPr="00D94EC5">
              <w:rPr>
                <w:sz w:val="20"/>
              </w:rPr>
              <w:t>Cathy C. McGill</w:t>
            </w:r>
          </w:p>
          <w:p w:rsidR="002775F4" w:rsidRPr="00E6267E" w:rsidRDefault="00D94EC5" w:rsidP="00C50369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>
              <w:rPr>
                <w:sz w:val="20"/>
              </w:rPr>
              <w:t xml:space="preserve">Assistant Director         </w:t>
            </w:r>
            <w:r w:rsidR="00535941">
              <w:rPr>
                <w:sz w:val="20"/>
              </w:rPr>
              <w:t>Carmelita Holmes</w:t>
            </w:r>
          </w:p>
        </w:tc>
      </w:tr>
    </w:tbl>
    <w:p w:rsidR="00E10F68" w:rsidRDefault="00E10F68" w:rsidP="00E10F68">
      <w:pPr>
        <w:pStyle w:val="BlockLine"/>
        <w:ind w:left="1620"/>
        <w:rPr>
          <w:sz w:val="16"/>
          <w:szCs w:val="16"/>
        </w:rPr>
      </w:pPr>
    </w:p>
    <w:p w:rsidR="007F4BC9" w:rsidRDefault="007F4BC9" w:rsidP="007F4BC9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Direct Deposit Security</w:t>
      </w:r>
    </w:p>
    <w:p w:rsidR="007F4BC9" w:rsidRDefault="007F4BC9" w:rsidP="007F4BC9">
      <w:pPr>
        <w:pStyle w:val="BlockLine"/>
        <w:ind w:left="1620"/>
        <w:rPr>
          <w:sz w:val="16"/>
          <w:szCs w:val="16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620"/>
        <w:gridCol w:w="9180"/>
      </w:tblGrid>
      <w:tr w:rsidR="007F4BC9" w:rsidTr="00011627">
        <w:trPr>
          <w:cantSplit/>
        </w:trPr>
        <w:tc>
          <w:tcPr>
            <w:tcW w:w="1620" w:type="dxa"/>
          </w:tcPr>
          <w:p w:rsidR="007F4BC9" w:rsidRPr="00E3044C" w:rsidRDefault="0078679C" w:rsidP="00D0781D">
            <w:pPr>
              <w:pStyle w:val="Heading5"/>
              <w:rPr>
                <w:szCs w:val="22"/>
              </w:rPr>
            </w:pPr>
            <w:r w:rsidRPr="00E3044C">
              <w:rPr>
                <w:szCs w:val="22"/>
              </w:rPr>
              <w:t>Help Protect Employees</w:t>
            </w:r>
          </w:p>
        </w:tc>
        <w:tc>
          <w:tcPr>
            <w:tcW w:w="9180" w:type="dxa"/>
          </w:tcPr>
          <w:p w:rsidR="00462BD6" w:rsidRPr="00E3044C" w:rsidRDefault="00462BD6" w:rsidP="000566D1">
            <w:pPr>
              <w:pStyle w:val="BlockText"/>
              <w:tabs>
                <w:tab w:val="left" w:pos="4554"/>
              </w:tabs>
              <w:rPr>
                <w:sz w:val="22"/>
                <w:szCs w:val="22"/>
              </w:rPr>
            </w:pPr>
            <w:r w:rsidRPr="00E3044C">
              <w:rPr>
                <w:sz w:val="22"/>
                <w:szCs w:val="22"/>
              </w:rPr>
              <w:t xml:space="preserve">Direct deposit fraud continues to </w:t>
            </w:r>
            <w:r w:rsidR="00F0440D">
              <w:rPr>
                <w:sz w:val="22"/>
                <w:szCs w:val="22"/>
              </w:rPr>
              <w:t>target</w:t>
            </w:r>
            <w:r w:rsidRPr="00E3044C">
              <w:rPr>
                <w:sz w:val="22"/>
                <w:szCs w:val="22"/>
              </w:rPr>
              <w:t xml:space="preserve"> agencies in the Commonwealth.  With proper security measures in place, agenci</w:t>
            </w:r>
            <w:r w:rsidR="00CC0088" w:rsidRPr="00E3044C">
              <w:rPr>
                <w:sz w:val="22"/>
                <w:szCs w:val="22"/>
              </w:rPr>
              <w:t>es can avoid falling victim to fraudsters</w:t>
            </w:r>
            <w:r w:rsidR="00F0440D">
              <w:rPr>
                <w:sz w:val="22"/>
                <w:szCs w:val="22"/>
              </w:rPr>
              <w:t xml:space="preserve"> and phishing </w:t>
            </w:r>
            <w:proofErr w:type="gramStart"/>
            <w:r w:rsidR="00F0440D">
              <w:rPr>
                <w:sz w:val="22"/>
                <w:szCs w:val="22"/>
              </w:rPr>
              <w:t>scams</w:t>
            </w:r>
            <w:proofErr w:type="gramEnd"/>
            <w:r w:rsidRPr="00E3044C">
              <w:rPr>
                <w:sz w:val="22"/>
                <w:szCs w:val="22"/>
              </w:rPr>
              <w:t>.</w:t>
            </w:r>
          </w:p>
          <w:p w:rsidR="00092CC3" w:rsidRPr="00E3044C" w:rsidRDefault="00092CC3" w:rsidP="00462BD6">
            <w:pPr>
              <w:pStyle w:val="BlockText"/>
              <w:tabs>
                <w:tab w:val="left" w:pos="4554"/>
              </w:tabs>
              <w:ind w:left="162"/>
              <w:rPr>
                <w:sz w:val="22"/>
                <w:szCs w:val="22"/>
              </w:rPr>
            </w:pPr>
          </w:p>
          <w:p w:rsidR="00281761" w:rsidRDefault="00092CC3" w:rsidP="00281761">
            <w:pPr>
              <w:pStyle w:val="BlockText"/>
              <w:tabs>
                <w:tab w:val="left" w:pos="4554"/>
              </w:tabs>
              <w:rPr>
                <w:sz w:val="22"/>
                <w:szCs w:val="22"/>
              </w:rPr>
            </w:pPr>
            <w:r w:rsidRPr="00E3044C">
              <w:rPr>
                <w:sz w:val="22"/>
                <w:szCs w:val="22"/>
              </w:rPr>
              <w:t xml:space="preserve">Effective immediately DOA has removed the employee direct deposit form from the public website.  Employees will be required to log </w:t>
            </w:r>
            <w:r w:rsidR="00BD08F4" w:rsidRPr="00E3044C">
              <w:rPr>
                <w:sz w:val="22"/>
                <w:szCs w:val="22"/>
              </w:rPr>
              <w:t>i</w:t>
            </w:r>
            <w:r w:rsidRPr="00E3044C">
              <w:rPr>
                <w:sz w:val="22"/>
                <w:szCs w:val="22"/>
              </w:rPr>
              <w:t>nto Payline to print the form for submission to the agency HR or Payroll office.</w:t>
            </w:r>
            <w:r w:rsidR="009E3EAC" w:rsidRPr="00E3044C">
              <w:rPr>
                <w:sz w:val="22"/>
                <w:szCs w:val="22"/>
              </w:rPr>
              <w:t xml:space="preserve">  </w:t>
            </w:r>
            <w:r w:rsidR="004A132F">
              <w:rPr>
                <w:sz w:val="22"/>
                <w:szCs w:val="22"/>
              </w:rPr>
              <w:t>Do not share this form electronically</w:t>
            </w:r>
            <w:r w:rsidR="00281761">
              <w:rPr>
                <w:sz w:val="22"/>
                <w:szCs w:val="22"/>
              </w:rPr>
              <w:t xml:space="preserve">.  </w:t>
            </w:r>
          </w:p>
          <w:p w:rsidR="00281761" w:rsidRDefault="00281761" w:rsidP="00281761">
            <w:pPr>
              <w:pStyle w:val="BlockText"/>
              <w:tabs>
                <w:tab w:val="left" w:pos="4554"/>
              </w:tabs>
              <w:rPr>
                <w:sz w:val="22"/>
                <w:szCs w:val="22"/>
              </w:rPr>
            </w:pPr>
          </w:p>
          <w:p w:rsidR="00092CC3" w:rsidRPr="00E3044C" w:rsidRDefault="00281761" w:rsidP="00E5522E">
            <w:pPr>
              <w:pStyle w:val="BlockText"/>
              <w:tabs>
                <w:tab w:val="left" w:pos="45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  <w:r w:rsidR="009E3EAC" w:rsidRPr="00E3044C">
              <w:rPr>
                <w:sz w:val="22"/>
                <w:szCs w:val="22"/>
              </w:rPr>
              <w:t xml:space="preserve"> hires </w:t>
            </w:r>
            <w:r>
              <w:rPr>
                <w:sz w:val="22"/>
                <w:szCs w:val="22"/>
              </w:rPr>
              <w:t xml:space="preserve">are required to wait </w:t>
            </w:r>
            <w:r w:rsidR="009E3EAC" w:rsidRPr="00E3044C">
              <w:rPr>
                <w:sz w:val="22"/>
                <w:szCs w:val="22"/>
              </w:rPr>
              <w:t xml:space="preserve">to sign up for direct deposit </w:t>
            </w:r>
            <w:r>
              <w:rPr>
                <w:sz w:val="22"/>
                <w:szCs w:val="22"/>
              </w:rPr>
              <w:t xml:space="preserve">until they are able to create a security record in Payline.  Once </w:t>
            </w:r>
            <w:r w:rsidR="009E3EAC" w:rsidRPr="00E3044C">
              <w:rPr>
                <w:sz w:val="22"/>
                <w:szCs w:val="22"/>
              </w:rPr>
              <w:t>their first pay</w:t>
            </w:r>
            <w:r>
              <w:rPr>
                <w:sz w:val="22"/>
                <w:szCs w:val="22"/>
              </w:rPr>
              <w:t>ment</w:t>
            </w:r>
            <w:r w:rsidR="009E3EAC" w:rsidRPr="00E3044C">
              <w:rPr>
                <w:sz w:val="22"/>
                <w:szCs w:val="22"/>
              </w:rPr>
              <w:t xml:space="preserve"> </w:t>
            </w:r>
            <w:proofErr w:type="gramStart"/>
            <w:r w:rsidR="009E3EAC" w:rsidRPr="00E3044C">
              <w:rPr>
                <w:sz w:val="22"/>
                <w:szCs w:val="22"/>
              </w:rPr>
              <w:t xml:space="preserve">has </w:t>
            </w:r>
            <w:r>
              <w:rPr>
                <w:sz w:val="22"/>
                <w:szCs w:val="22"/>
              </w:rPr>
              <w:t xml:space="preserve">been </w:t>
            </w:r>
            <w:r w:rsidR="009E3EAC" w:rsidRPr="00E3044C">
              <w:rPr>
                <w:sz w:val="22"/>
                <w:szCs w:val="22"/>
              </w:rPr>
              <w:t>processed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9E3EAC" w:rsidRPr="00E3044C">
              <w:rPr>
                <w:sz w:val="22"/>
                <w:szCs w:val="22"/>
              </w:rPr>
              <w:t xml:space="preserve">they </w:t>
            </w:r>
            <w:r>
              <w:rPr>
                <w:sz w:val="22"/>
                <w:szCs w:val="22"/>
              </w:rPr>
              <w:t>will be able to cre</w:t>
            </w:r>
            <w:r w:rsidR="009E3EAC" w:rsidRPr="00E3044C">
              <w:rPr>
                <w:sz w:val="22"/>
                <w:szCs w:val="22"/>
              </w:rPr>
              <w:t xml:space="preserve">ate a security record </w:t>
            </w:r>
            <w:r>
              <w:rPr>
                <w:sz w:val="22"/>
                <w:szCs w:val="22"/>
              </w:rPr>
              <w:t xml:space="preserve">(the day after certification) </w:t>
            </w:r>
            <w:r w:rsidR="009E3EAC" w:rsidRPr="00E3044C">
              <w:rPr>
                <w:sz w:val="22"/>
                <w:szCs w:val="22"/>
              </w:rPr>
              <w:t>and access the form.</w:t>
            </w:r>
            <w:r>
              <w:rPr>
                <w:sz w:val="22"/>
                <w:szCs w:val="22"/>
              </w:rPr>
              <w:t xml:space="preserve">  Please understand that this will result in an increased number of paper checks for your agency based on your number of new hires; however, the security of employees’ payments to direct deposit accounts justifies the additional effort.  </w:t>
            </w:r>
          </w:p>
        </w:tc>
      </w:tr>
    </w:tbl>
    <w:p w:rsidR="007F4BC9" w:rsidRDefault="007F4BC9" w:rsidP="003844FA">
      <w:pPr>
        <w:pStyle w:val="BlockLine"/>
        <w:spacing w:before="120"/>
        <w:ind w:left="1627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9175"/>
      </w:tblGrid>
      <w:tr w:rsidR="00BD08F4" w:rsidTr="00BD08F4">
        <w:tc>
          <w:tcPr>
            <w:tcW w:w="1615" w:type="dxa"/>
          </w:tcPr>
          <w:p w:rsidR="00BD08F4" w:rsidRPr="00E3044C" w:rsidRDefault="00BD08F4" w:rsidP="00BD08F4">
            <w:pPr>
              <w:pStyle w:val="Heading5"/>
              <w:rPr>
                <w:szCs w:val="22"/>
              </w:rPr>
            </w:pPr>
            <w:r w:rsidRPr="00E3044C">
              <w:rPr>
                <w:szCs w:val="22"/>
              </w:rPr>
              <w:t>Changes to Direct Deposit Form</w:t>
            </w:r>
          </w:p>
        </w:tc>
        <w:tc>
          <w:tcPr>
            <w:tcW w:w="9175" w:type="dxa"/>
          </w:tcPr>
          <w:p w:rsidR="00BD08F4" w:rsidRPr="00E3044C" w:rsidRDefault="005246B2" w:rsidP="00BD08F4">
            <w:pPr>
              <w:rPr>
                <w:sz w:val="22"/>
                <w:szCs w:val="22"/>
              </w:rPr>
            </w:pPr>
            <w:r w:rsidRPr="00E3044C">
              <w:rPr>
                <w:sz w:val="22"/>
                <w:szCs w:val="22"/>
              </w:rPr>
              <w:t xml:space="preserve">In addition to removing the Employee Direct Deposit form from the public website, </w:t>
            </w:r>
            <w:r w:rsidR="00032A0A" w:rsidRPr="00E3044C">
              <w:rPr>
                <w:sz w:val="22"/>
                <w:szCs w:val="22"/>
              </w:rPr>
              <w:t xml:space="preserve">significant </w:t>
            </w:r>
            <w:r w:rsidRPr="00E3044C">
              <w:rPr>
                <w:sz w:val="22"/>
                <w:szCs w:val="22"/>
              </w:rPr>
              <w:t xml:space="preserve">changes </w:t>
            </w:r>
            <w:proofErr w:type="gramStart"/>
            <w:r w:rsidRPr="00E3044C">
              <w:rPr>
                <w:sz w:val="22"/>
                <w:szCs w:val="22"/>
              </w:rPr>
              <w:t>have been made</w:t>
            </w:r>
            <w:proofErr w:type="gramEnd"/>
            <w:r w:rsidRPr="00E3044C">
              <w:rPr>
                <w:sz w:val="22"/>
                <w:szCs w:val="22"/>
              </w:rPr>
              <w:t xml:space="preserve"> to </w:t>
            </w:r>
            <w:r w:rsidR="00032A0A" w:rsidRPr="00E3044C">
              <w:rPr>
                <w:sz w:val="22"/>
                <w:szCs w:val="22"/>
              </w:rPr>
              <w:t>the form found in Payline.</w:t>
            </w:r>
            <w:r w:rsidR="00851CEF" w:rsidRPr="00E3044C">
              <w:rPr>
                <w:sz w:val="22"/>
                <w:szCs w:val="22"/>
              </w:rPr>
              <w:t xml:space="preserve">  Please pay attention to the following requirements:</w:t>
            </w:r>
          </w:p>
          <w:p w:rsidR="00851CEF" w:rsidRPr="00E3044C" w:rsidRDefault="002A087D" w:rsidP="00851CEF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E3044C">
              <w:rPr>
                <w:sz w:val="22"/>
                <w:szCs w:val="22"/>
              </w:rPr>
              <w:t xml:space="preserve">Employees must fill out a separate form for each </w:t>
            </w:r>
            <w:r w:rsidR="00D322E1" w:rsidRPr="00E3044C">
              <w:rPr>
                <w:sz w:val="22"/>
                <w:szCs w:val="22"/>
              </w:rPr>
              <w:t xml:space="preserve">direct deposit </w:t>
            </w:r>
            <w:r w:rsidRPr="00E3044C">
              <w:rPr>
                <w:sz w:val="22"/>
                <w:szCs w:val="22"/>
              </w:rPr>
              <w:t>account</w:t>
            </w:r>
          </w:p>
          <w:p w:rsidR="002A087D" w:rsidRPr="00E3044C" w:rsidRDefault="00C03B87" w:rsidP="002A087D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2A087D" w:rsidRPr="00E3044C">
              <w:rPr>
                <w:sz w:val="22"/>
                <w:szCs w:val="22"/>
              </w:rPr>
              <w:t xml:space="preserve">ll fields on the form </w:t>
            </w:r>
            <w:proofErr w:type="gramStart"/>
            <w:r w:rsidR="002A087D" w:rsidRPr="00E3044C">
              <w:rPr>
                <w:sz w:val="22"/>
                <w:szCs w:val="22"/>
              </w:rPr>
              <w:t>must be completed</w:t>
            </w:r>
            <w:proofErr w:type="gramEnd"/>
            <w:r w:rsidR="002A087D" w:rsidRPr="00E3044C">
              <w:rPr>
                <w:sz w:val="22"/>
                <w:szCs w:val="22"/>
              </w:rPr>
              <w:t xml:space="preserve"> – the only exception is the </w:t>
            </w:r>
            <w:r w:rsidR="00F0440D">
              <w:rPr>
                <w:sz w:val="22"/>
                <w:szCs w:val="22"/>
              </w:rPr>
              <w:t>Current</w:t>
            </w:r>
            <w:r w:rsidR="002A087D" w:rsidRPr="00E3044C">
              <w:rPr>
                <w:sz w:val="22"/>
                <w:szCs w:val="22"/>
              </w:rPr>
              <w:t xml:space="preserve"> Account Number </w:t>
            </w:r>
            <w:r w:rsidR="00F0440D">
              <w:rPr>
                <w:sz w:val="22"/>
                <w:szCs w:val="22"/>
              </w:rPr>
              <w:t xml:space="preserve">field </w:t>
            </w:r>
            <w:r w:rsidR="002A087D" w:rsidRPr="00E3044C">
              <w:rPr>
                <w:sz w:val="22"/>
                <w:szCs w:val="22"/>
              </w:rPr>
              <w:t>when the employee is reques</w:t>
            </w:r>
            <w:r w:rsidR="00F0440D">
              <w:rPr>
                <w:sz w:val="22"/>
                <w:szCs w:val="22"/>
              </w:rPr>
              <w:t>ting a deposit to a new account, not already in use.  F</w:t>
            </w:r>
            <w:r w:rsidR="002A087D" w:rsidRPr="00E3044C">
              <w:rPr>
                <w:sz w:val="22"/>
                <w:szCs w:val="22"/>
              </w:rPr>
              <w:t xml:space="preserve">or example, employee already has direct deposit for net pay and wants to add another account to receive a fixed amount – </w:t>
            </w:r>
            <w:r w:rsidR="00F0440D">
              <w:rPr>
                <w:sz w:val="22"/>
                <w:szCs w:val="22"/>
              </w:rPr>
              <w:t xml:space="preserve">current </w:t>
            </w:r>
            <w:r w:rsidR="002A087D" w:rsidRPr="00E3044C">
              <w:rPr>
                <w:sz w:val="22"/>
                <w:szCs w:val="22"/>
              </w:rPr>
              <w:t>account number is not required</w:t>
            </w:r>
            <w:r w:rsidR="00F0440D">
              <w:rPr>
                <w:sz w:val="22"/>
                <w:szCs w:val="22"/>
              </w:rPr>
              <w:t xml:space="preserve"> because it </w:t>
            </w:r>
            <w:proofErr w:type="gramStart"/>
            <w:r w:rsidR="00F0440D">
              <w:rPr>
                <w:sz w:val="22"/>
                <w:szCs w:val="22"/>
              </w:rPr>
              <w:t>has not yet been established</w:t>
            </w:r>
            <w:proofErr w:type="gramEnd"/>
            <w:r w:rsidR="00F0440D">
              <w:rPr>
                <w:sz w:val="22"/>
                <w:szCs w:val="22"/>
              </w:rPr>
              <w:t xml:space="preserve"> for that deduction</w:t>
            </w:r>
            <w:r w:rsidR="00395D77">
              <w:rPr>
                <w:sz w:val="22"/>
                <w:szCs w:val="22"/>
              </w:rPr>
              <w:t>.</w:t>
            </w:r>
          </w:p>
          <w:p w:rsidR="002A087D" w:rsidRPr="00E3044C" w:rsidRDefault="005D3F7E" w:rsidP="00D322E1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E3044C">
              <w:rPr>
                <w:sz w:val="22"/>
                <w:szCs w:val="22"/>
              </w:rPr>
              <w:t xml:space="preserve">Agency Name, </w:t>
            </w:r>
            <w:r w:rsidR="00D322E1" w:rsidRPr="00E3044C">
              <w:rPr>
                <w:sz w:val="22"/>
                <w:szCs w:val="22"/>
              </w:rPr>
              <w:t xml:space="preserve">Employee Name, Address, Employee Number, Financial Institution Name, Routing Number, </w:t>
            </w:r>
            <w:r w:rsidRPr="00E3044C">
              <w:rPr>
                <w:sz w:val="22"/>
                <w:szCs w:val="22"/>
              </w:rPr>
              <w:t xml:space="preserve">New or Change, </w:t>
            </w:r>
            <w:r w:rsidR="00D322E1" w:rsidRPr="00E3044C">
              <w:rPr>
                <w:sz w:val="22"/>
                <w:szCs w:val="22"/>
              </w:rPr>
              <w:t xml:space="preserve">Account Type, Amount, New Account Number, Employee Signature </w:t>
            </w:r>
            <w:r w:rsidRPr="00E3044C">
              <w:rPr>
                <w:sz w:val="22"/>
                <w:szCs w:val="22"/>
              </w:rPr>
              <w:t xml:space="preserve">(must not be an electronic signature) </w:t>
            </w:r>
            <w:r w:rsidR="00D322E1" w:rsidRPr="00E3044C">
              <w:rPr>
                <w:sz w:val="22"/>
                <w:szCs w:val="22"/>
              </w:rPr>
              <w:t>and Date are ALWAYS required</w:t>
            </w:r>
          </w:p>
          <w:p w:rsidR="005D3F7E" w:rsidRDefault="00D322E1" w:rsidP="005D3F7E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E3044C">
              <w:rPr>
                <w:sz w:val="22"/>
                <w:szCs w:val="22"/>
              </w:rPr>
              <w:t xml:space="preserve">Voided check or other documentation from the financial institution (top part of a bank statement, Member Information Card, etc.) to confirm routing and account number is </w:t>
            </w:r>
            <w:r w:rsidR="00395D77">
              <w:rPr>
                <w:sz w:val="22"/>
                <w:szCs w:val="22"/>
              </w:rPr>
              <w:t>required.</w:t>
            </w:r>
          </w:p>
          <w:p w:rsidR="00F3146D" w:rsidRPr="00E3044C" w:rsidRDefault="00F3146D" w:rsidP="00254516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E3044C">
              <w:rPr>
                <w:sz w:val="22"/>
                <w:szCs w:val="22"/>
              </w:rPr>
              <w:t xml:space="preserve">Completion of information in </w:t>
            </w:r>
            <w:r w:rsidR="00254516">
              <w:rPr>
                <w:sz w:val="22"/>
                <w:szCs w:val="22"/>
              </w:rPr>
              <w:t>Agency Use box is also required</w:t>
            </w:r>
          </w:p>
        </w:tc>
      </w:tr>
    </w:tbl>
    <w:p w:rsidR="00BD08F4" w:rsidRPr="00201F3D" w:rsidRDefault="00201F3D" w:rsidP="00201F3D">
      <w:pPr>
        <w:pStyle w:val="BlockLine"/>
        <w:spacing w:before="120"/>
        <w:ind w:left="162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Continued on the next page</w:t>
      </w:r>
    </w:p>
    <w:p w:rsidR="00BD08F4" w:rsidRDefault="00BD08F4" w:rsidP="00BD08F4"/>
    <w:p w:rsidR="0056548F" w:rsidRDefault="0056548F" w:rsidP="00BD08F4"/>
    <w:p w:rsidR="0056548F" w:rsidRDefault="007A5B4F" w:rsidP="0005239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56548F">
        <w:rPr>
          <w:b/>
          <w:bCs/>
          <w:color w:val="000000"/>
          <w:sz w:val="28"/>
          <w:szCs w:val="28"/>
        </w:rPr>
        <w:lastRenderedPageBreak/>
        <w:t>Direct Deposit Security, cont.</w:t>
      </w:r>
      <w:bookmarkStart w:id="0" w:name="_GoBack"/>
      <w:bookmarkEnd w:id="0"/>
    </w:p>
    <w:p w:rsidR="0056548F" w:rsidRDefault="0056548F" w:rsidP="00D02A69">
      <w:pPr>
        <w:pStyle w:val="BlockLine"/>
        <w:spacing w:before="120"/>
        <w:ind w:left="1627"/>
        <w:rPr>
          <w:sz w:val="16"/>
          <w:szCs w:val="16"/>
        </w:rPr>
      </w:pP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1620"/>
        <w:gridCol w:w="9090"/>
      </w:tblGrid>
      <w:tr w:rsidR="007F4BC9" w:rsidRPr="007A229D" w:rsidTr="00A46731">
        <w:trPr>
          <w:cantSplit/>
        </w:trPr>
        <w:tc>
          <w:tcPr>
            <w:tcW w:w="1620" w:type="dxa"/>
          </w:tcPr>
          <w:p w:rsidR="007F4BC9" w:rsidRPr="007A229D" w:rsidRDefault="00BD08F4" w:rsidP="00D0781D">
            <w:pPr>
              <w:pStyle w:val="Heading5"/>
              <w:rPr>
                <w:szCs w:val="22"/>
              </w:rPr>
            </w:pPr>
            <w:r w:rsidRPr="007A229D">
              <w:rPr>
                <w:szCs w:val="22"/>
              </w:rPr>
              <w:t>Security Tips</w:t>
            </w:r>
          </w:p>
        </w:tc>
        <w:tc>
          <w:tcPr>
            <w:tcW w:w="9090" w:type="dxa"/>
          </w:tcPr>
          <w:p w:rsidR="007F4BC9" w:rsidRPr="007A229D" w:rsidRDefault="00462BD6" w:rsidP="00D0781D">
            <w:pPr>
              <w:pStyle w:val="BlockText"/>
              <w:tabs>
                <w:tab w:val="left" w:pos="4554"/>
              </w:tabs>
              <w:ind w:left="162"/>
              <w:rPr>
                <w:sz w:val="22"/>
                <w:szCs w:val="22"/>
              </w:rPr>
            </w:pPr>
            <w:r w:rsidRPr="007A229D">
              <w:rPr>
                <w:sz w:val="22"/>
                <w:szCs w:val="22"/>
              </w:rPr>
              <w:t xml:space="preserve">The following tips </w:t>
            </w:r>
            <w:proofErr w:type="gramStart"/>
            <w:r w:rsidRPr="007A229D">
              <w:rPr>
                <w:sz w:val="22"/>
                <w:szCs w:val="22"/>
              </w:rPr>
              <w:t>are provided</w:t>
            </w:r>
            <w:proofErr w:type="gramEnd"/>
            <w:r w:rsidRPr="007A229D">
              <w:rPr>
                <w:sz w:val="22"/>
                <w:szCs w:val="22"/>
              </w:rPr>
              <w:t>, but responsibility for ensuring that direct deposit changes are legitimate rests solely with the employing agency.</w:t>
            </w:r>
          </w:p>
          <w:p w:rsidR="006B12B0" w:rsidRPr="007A229D" w:rsidRDefault="006B12B0" w:rsidP="00D0781D">
            <w:pPr>
              <w:pStyle w:val="BlockText"/>
              <w:tabs>
                <w:tab w:val="left" w:pos="4554"/>
              </w:tabs>
              <w:ind w:left="162"/>
              <w:rPr>
                <w:sz w:val="22"/>
                <w:szCs w:val="22"/>
              </w:rPr>
            </w:pPr>
          </w:p>
          <w:p w:rsidR="00322D3B" w:rsidRDefault="00F74BE8" w:rsidP="00462BD6">
            <w:pPr>
              <w:pStyle w:val="BlockText"/>
              <w:numPr>
                <w:ilvl w:val="0"/>
                <w:numId w:val="24"/>
              </w:numPr>
              <w:tabs>
                <w:tab w:val="left" w:pos="45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NOT share </w:t>
            </w:r>
            <w:r w:rsidR="00322D3B">
              <w:rPr>
                <w:sz w:val="22"/>
                <w:szCs w:val="22"/>
              </w:rPr>
              <w:t>the direct deposit form electronically</w:t>
            </w:r>
          </w:p>
          <w:p w:rsidR="00462BD6" w:rsidRPr="007A229D" w:rsidRDefault="00462BD6" w:rsidP="00462BD6">
            <w:pPr>
              <w:pStyle w:val="BlockText"/>
              <w:numPr>
                <w:ilvl w:val="0"/>
                <w:numId w:val="24"/>
              </w:numPr>
              <w:tabs>
                <w:tab w:val="left" w:pos="4554"/>
              </w:tabs>
              <w:rPr>
                <w:sz w:val="22"/>
                <w:szCs w:val="22"/>
              </w:rPr>
            </w:pPr>
            <w:r w:rsidRPr="007A229D">
              <w:rPr>
                <w:sz w:val="22"/>
                <w:szCs w:val="22"/>
              </w:rPr>
              <w:t xml:space="preserve">NEVER accept a direct deposit change received through email </w:t>
            </w:r>
            <w:r w:rsidR="006B12B0" w:rsidRPr="007A229D">
              <w:rPr>
                <w:sz w:val="22"/>
                <w:szCs w:val="22"/>
              </w:rPr>
              <w:t xml:space="preserve">or fax </w:t>
            </w:r>
            <w:r w:rsidRPr="007A229D">
              <w:rPr>
                <w:sz w:val="22"/>
                <w:szCs w:val="22"/>
              </w:rPr>
              <w:t xml:space="preserve">UNLESS you confirm directly with the employee, </w:t>
            </w:r>
            <w:proofErr w:type="gramStart"/>
            <w:r w:rsidRPr="007A229D">
              <w:rPr>
                <w:sz w:val="22"/>
                <w:szCs w:val="22"/>
              </w:rPr>
              <w:t>either in</w:t>
            </w:r>
            <w:proofErr w:type="gramEnd"/>
            <w:r w:rsidRPr="007A229D">
              <w:rPr>
                <w:sz w:val="22"/>
                <w:szCs w:val="22"/>
              </w:rPr>
              <w:t xml:space="preserve"> person or by phone</w:t>
            </w:r>
            <w:r w:rsidR="00461B7B" w:rsidRPr="007A229D">
              <w:rPr>
                <w:sz w:val="22"/>
                <w:szCs w:val="22"/>
              </w:rPr>
              <w:t xml:space="preserve"> (using a phone number already in your file)</w:t>
            </w:r>
            <w:r w:rsidRPr="007A229D">
              <w:rPr>
                <w:sz w:val="22"/>
                <w:szCs w:val="22"/>
              </w:rPr>
              <w:t xml:space="preserve">.  </w:t>
            </w:r>
            <w:r w:rsidR="006B12B0" w:rsidRPr="007A229D">
              <w:rPr>
                <w:sz w:val="22"/>
                <w:szCs w:val="22"/>
              </w:rPr>
              <w:t>If necessary, t</w:t>
            </w:r>
            <w:r w:rsidRPr="007A229D">
              <w:rPr>
                <w:sz w:val="22"/>
                <w:szCs w:val="22"/>
              </w:rPr>
              <w:t xml:space="preserve">urn off the direct deposit for the account completely until confirmation </w:t>
            </w:r>
            <w:proofErr w:type="gramStart"/>
            <w:r w:rsidRPr="007A229D">
              <w:rPr>
                <w:sz w:val="22"/>
                <w:szCs w:val="22"/>
              </w:rPr>
              <w:t>is made</w:t>
            </w:r>
            <w:proofErr w:type="gramEnd"/>
            <w:r w:rsidRPr="007A229D">
              <w:rPr>
                <w:sz w:val="22"/>
                <w:szCs w:val="22"/>
              </w:rPr>
              <w:t>.</w:t>
            </w:r>
            <w:r w:rsidR="00461B7B" w:rsidRPr="007A229D">
              <w:rPr>
                <w:sz w:val="22"/>
                <w:szCs w:val="22"/>
              </w:rPr>
              <w:t xml:space="preserve">  Notify the employee that they will receive a check in the meantime.</w:t>
            </w:r>
            <w:r w:rsidRPr="007A229D">
              <w:rPr>
                <w:sz w:val="22"/>
                <w:szCs w:val="22"/>
              </w:rPr>
              <w:t xml:space="preserve"> </w:t>
            </w:r>
          </w:p>
          <w:p w:rsidR="00462BD6" w:rsidRPr="007A229D" w:rsidRDefault="00462BD6" w:rsidP="006B12B0">
            <w:pPr>
              <w:pStyle w:val="BlockText"/>
              <w:numPr>
                <w:ilvl w:val="0"/>
                <w:numId w:val="24"/>
              </w:numPr>
              <w:tabs>
                <w:tab w:val="left" w:pos="4554"/>
              </w:tabs>
              <w:rPr>
                <w:sz w:val="22"/>
                <w:szCs w:val="22"/>
              </w:rPr>
            </w:pPr>
            <w:r w:rsidRPr="007A229D">
              <w:rPr>
                <w:sz w:val="22"/>
                <w:szCs w:val="22"/>
              </w:rPr>
              <w:t xml:space="preserve">ALWAYS make sure that the most current version of the Commonwealth DD form is used.  </w:t>
            </w:r>
            <w:r w:rsidR="00D97E10" w:rsidRPr="007A229D">
              <w:rPr>
                <w:sz w:val="22"/>
                <w:szCs w:val="22"/>
              </w:rPr>
              <w:t xml:space="preserve">The form </w:t>
            </w:r>
            <w:proofErr w:type="gramStart"/>
            <w:r w:rsidR="00D97E10" w:rsidRPr="007A229D">
              <w:rPr>
                <w:sz w:val="22"/>
                <w:szCs w:val="22"/>
              </w:rPr>
              <w:t>has been revised</w:t>
            </w:r>
            <w:proofErr w:type="gramEnd"/>
            <w:r w:rsidR="00D97E10" w:rsidRPr="007A229D">
              <w:rPr>
                <w:sz w:val="22"/>
                <w:szCs w:val="22"/>
              </w:rPr>
              <w:t xml:space="preserve"> as of 08/19 and earlier versions should not be accepted</w:t>
            </w:r>
            <w:r w:rsidR="006B12B0" w:rsidRPr="007A229D">
              <w:rPr>
                <w:sz w:val="22"/>
                <w:szCs w:val="22"/>
              </w:rPr>
              <w:t>.</w:t>
            </w:r>
          </w:p>
          <w:p w:rsidR="006B12B0" w:rsidRPr="0000784D" w:rsidRDefault="006B12B0" w:rsidP="0000784D">
            <w:pPr>
              <w:pStyle w:val="BlockText"/>
              <w:numPr>
                <w:ilvl w:val="0"/>
                <w:numId w:val="24"/>
              </w:numPr>
              <w:tabs>
                <w:tab w:val="left" w:pos="4554"/>
              </w:tabs>
              <w:rPr>
                <w:sz w:val="22"/>
                <w:szCs w:val="22"/>
              </w:rPr>
            </w:pPr>
            <w:r w:rsidRPr="00EC33CF">
              <w:rPr>
                <w:sz w:val="22"/>
                <w:szCs w:val="22"/>
              </w:rPr>
              <w:t xml:space="preserve">NEVER accept a direct deposit change that </w:t>
            </w:r>
            <w:proofErr w:type="gramStart"/>
            <w:r w:rsidRPr="00EC33CF">
              <w:rPr>
                <w:sz w:val="22"/>
                <w:szCs w:val="22"/>
              </w:rPr>
              <w:t>is not completely filled out and signed by the employee</w:t>
            </w:r>
            <w:proofErr w:type="gramEnd"/>
            <w:r w:rsidRPr="00EC33CF">
              <w:rPr>
                <w:sz w:val="22"/>
                <w:szCs w:val="22"/>
              </w:rPr>
              <w:t xml:space="preserve">.  That includes </w:t>
            </w:r>
            <w:r w:rsidR="00EC33CF" w:rsidRPr="00EC33CF">
              <w:rPr>
                <w:sz w:val="22"/>
                <w:szCs w:val="22"/>
              </w:rPr>
              <w:t>all of the required fields listed previously</w:t>
            </w:r>
            <w:r w:rsidR="00461B7B" w:rsidRPr="00EC33CF">
              <w:rPr>
                <w:sz w:val="22"/>
                <w:szCs w:val="22"/>
              </w:rPr>
              <w:t>.</w:t>
            </w:r>
            <w:r w:rsidR="004B4ADC" w:rsidRPr="00EC33CF">
              <w:rPr>
                <w:sz w:val="22"/>
                <w:szCs w:val="22"/>
              </w:rPr>
              <w:t xml:space="preserve">  </w:t>
            </w:r>
          </w:p>
        </w:tc>
      </w:tr>
    </w:tbl>
    <w:p w:rsidR="007F4BC9" w:rsidRPr="003844FA" w:rsidRDefault="007F4BC9" w:rsidP="003844FA">
      <w:pPr>
        <w:pStyle w:val="BlockLine"/>
        <w:spacing w:before="120"/>
        <w:ind w:left="1627"/>
        <w:rPr>
          <w:sz w:val="16"/>
          <w:szCs w:val="16"/>
        </w:rPr>
      </w:pP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1620"/>
        <w:gridCol w:w="9090"/>
      </w:tblGrid>
      <w:tr w:rsidR="007F4BC9" w:rsidRPr="007A229D" w:rsidTr="00E35201">
        <w:trPr>
          <w:cantSplit/>
          <w:trHeight w:val="3380"/>
        </w:trPr>
        <w:tc>
          <w:tcPr>
            <w:tcW w:w="1620" w:type="dxa"/>
          </w:tcPr>
          <w:p w:rsidR="007F4BC9" w:rsidRPr="007A229D" w:rsidRDefault="002240B3" w:rsidP="00D0781D">
            <w:pPr>
              <w:pStyle w:val="Heading5"/>
              <w:rPr>
                <w:szCs w:val="22"/>
              </w:rPr>
            </w:pPr>
            <w:r w:rsidRPr="007A229D">
              <w:rPr>
                <w:szCs w:val="22"/>
              </w:rPr>
              <w:t>Victim of a Scam?</w:t>
            </w:r>
          </w:p>
        </w:tc>
        <w:tc>
          <w:tcPr>
            <w:tcW w:w="9090" w:type="dxa"/>
          </w:tcPr>
          <w:p w:rsidR="007F4BC9" w:rsidRPr="007A229D" w:rsidRDefault="007169F7" w:rsidP="00D0781D">
            <w:pPr>
              <w:pStyle w:val="BlockText"/>
              <w:tabs>
                <w:tab w:val="left" w:pos="4554"/>
              </w:tabs>
              <w:rPr>
                <w:sz w:val="22"/>
                <w:szCs w:val="22"/>
              </w:rPr>
            </w:pPr>
            <w:r w:rsidRPr="007A229D">
              <w:rPr>
                <w:sz w:val="22"/>
                <w:szCs w:val="22"/>
              </w:rPr>
              <w:t>In the event it is discovered that a fraudulent change has been made to an employee’s direct deposit account, immediately follow these steps:</w:t>
            </w:r>
          </w:p>
          <w:p w:rsidR="007169F7" w:rsidRPr="007A229D" w:rsidRDefault="007169F7" w:rsidP="00D0781D">
            <w:pPr>
              <w:pStyle w:val="BlockText"/>
              <w:tabs>
                <w:tab w:val="left" w:pos="4554"/>
              </w:tabs>
              <w:rPr>
                <w:sz w:val="22"/>
                <w:szCs w:val="22"/>
              </w:rPr>
            </w:pPr>
          </w:p>
          <w:p w:rsidR="007169F7" w:rsidRPr="007A229D" w:rsidRDefault="007169F7" w:rsidP="00F01735">
            <w:pPr>
              <w:pStyle w:val="BlockText"/>
              <w:numPr>
                <w:ilvl w:val="0"/>
                <w:numId w:val="27"/>
              </w:numPr>
              <w:tabs>
                <w:tab w:val="left" w:pos="4554"/>
              </w:tabs>
              <w:rPr>
                <w:sz w:val="22"/>
                <w:szCs w:val="22"/>
              </w:rPr>
            </w:pPr>
            <w:r w:rsidRPr="007A229D">
              <w:rPr>
                <w:sz w:val="22"/>
                <w:szCs w:val="22"/>
              </w:rPr>
              <w:t xml:space="preserve">Submit Stop Payment request to </w:t>
            </w:r>
            <w:hyperlink r:id="rId9" w:history="1">
              <w:r w:rsidRPr="007A229D">
                <w:rPr>
                  <w:rStyle w:val="Hyperlink"/>
                  <w:sz w:val="22"/>
                  <w:szCs w:val="22"/>
                </w:rPr>
                <w:t>payroll@doa.virginia.gov</w:t>
              </w:r>
            </w:hyperlink>
            <w:r w:rsidRPr="007A229D">
              <w:rPr>
                <w:sz w:val="22"/>
                <w:szCs w:val="22"/>
              </w:rPr>
              <w:t xml:space="preserve"> – make sure the reason includes “BEC:  Incorrect account information, Email fraud”</w:t>
            </w:r>
          </w:p>
          <w:p w:rsidR="007169F7" w:rsidRPr="007A229D" w:rsidRDefault="007169F7" w:rsidP="00F01735">
            <w:pPr>
              <w:pStyle w:val="BlockText"/>
              <w:numPr>
                <w:ilvl w:val="0"/>
                <w:numId w:val="27"/>
              </w:numPr>
              <w:tabs>
                <w:tab w:val="left" w:pos="4554"/>
              </w:tabs>
              <w:rPr>
                <w:sz w:val="22"/>
                <w:szCs w:val="22"/>
              </w:rPr>
            </w:pPr>
            <w:r w:rsidRPr="007A229D">
              <w:rPr>
                <w:sz w:val="22"/>
                <w:szCs w:val="22"/>
              </w:rPr>
              <w:t>Notify Cathy McGill (</w:t>
            </w:r>
            <w:hyperlink r:id="rId10" w:history="1">
              <w:r w:rsidRPr="007A229D">
                <w:rPr>
                  <w:rStyle w:val="Hyperlink"/>
                  <w:sz w:val="22"/>
                  <w:szCs w:val="22"/>
                </w:rPr>
                <w:t>cathy.mcgill@doa.virginia.gov</w:t>
              </w:r>
            </w:hyperlink>
            <w:r w:rsidRPr="007A229D">
              <w:rPr>
                <w:sz w:val="22"/>
                <w:szCs w:val="22"/>
              </w:rPr>
              <w:t>) and Carmelita Holmes (</w:t>
            </w:r>
            <w:hyperlink r:id="rId11" w:history="1">
              <w:r w:rsidRPr="007A229D">
                <w:rPr>
                  <w:rStyle w:val="Hyperlink"/>
                  <w:sz w:val="22"/>
                  <w:szCs w:val="22"/>
                </w:rPr>
                <w:t>carmelita.holmes@doa.virginia.gov</w:t>
              </w:r>
            </w:hyperlink>
            <w:r w:rsidRPr="007A229D">
              <w:rPr>
                <w:sz w:val="22"/>
                <w:szCs w:val="22"/>
              </w:rPr>
              <w:t>) at DOA State Payroll Operations</w:t>
            </w:r>
            <w:r w:rsidR="008F61B4" w:rsidRPr="007A229D">
              <w:rPr>
                <w:sz w:val="22"/>
                <w:szCs w:val="22"/>
              </w:rPr>
              <w:t xml:space="preserve"> – we will notify the Treasurer’s office who will also contact the bank on your behalf</w:t>
            </w:r>
          </w:p>
          <w:p w:rsidR="008F61B4" w:rsidRPr="007A229D" w:rsidRDefault="008F61B4" w:rsidP="00F01735">
            <w:pPr>
              <w:pStyle w:val="BlockText"/>
              <w:numPr>
                <w:ilvl w:val="0"/>
                <w:numId w:val="27"/>
              </w:numPr>
              <w:tabs>
                <w:tab w:val="left" w:pos="4554"/>
              </w:tabs>
              <w:rPr>
                <w:sz w:val="22"/>
                <w:szCs w:val="22"/>
              </w:rPr>
            </w:pPr>
            <w:r w:rsidRPr="007A229D">
              <w:rPr>
                <w:sz w:val="22"/>
                <w:szCs w:val="22"/>
              </w:rPr>
              <w:t>Inform your agency Information Security Officer (ISO)</w:t>
            </w:r>
          </w:p>
          <w:p w:rsidR="00F01735" w:rsidRPr="00F01735" w:rsidRDefault="00F01735" w:rsidP="00F01735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2"/>
                <w:szCs w:val="22"/>
              </w:rPr>
            </w:pPr>
            <w:r w:rsidRPr="00F01735">
              <w:rPr>
                <w:color w:val="222222"/>
                <w:sz w:val="22"/>
                <w:szCs w:val="22"/>
              </w:rPr>
              <w:t xml:space="preserve">Contact </w:t>
            </w:r>
            <w:r>
              <w:rPr>
                <w:color w:val="222222"/>
                <w:sz w:val="22"/>
                <w:szCs w:val="22"/>
              </w:rPr>
              <w:t xml:space="preserve">the </w:t>
            </w:r>
            <w:r w:rsidRPr="00F01735">
              <w:rPr>
                <w:color w:val="222222"/>
                <w:sz w:val="22"/>
                <w:szCs w:val="22"/>
              </w:rPr>
              <w:t>Virginia State Police Hotline at (804)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  <w:r w:rsidRPr="00F01735">
              <w:rPr>
                <w:color w:val="222222"/>
                <w:sz w:val="22"/>
                <w:szCs w:val="22"/>
              </w:rPr>
              <w:t>537-6788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  <w:r w:rsidRPr="00F01735">
              <w:rPr>
                <w:color w:val="222222"/>
                <w:sz w:val="22"/>
                <w:szCs w:val="22"/>
              </w:rPr>
              <w:t xml:space="preserve">to file an incident report and </w:t>
            </w:r>
            <w:r>
              <w:rPr>
                <w:color w:val="222222"/>
                <w:sz w:val="22"/>
                <w:szCs w:val="22"/>
              </w:rPr>
              <w:t xml:space="preserve">begin an </w:t>
            </w:r>
            <w:r w:rsidRPr="00F01735">
              <w:rPr>
                <w:color w:val="222222"/>
                <w:sz w:val="22"/>
                <w:szCs w:val="22"/>
              </w:rPr>
              <w:t>investigation</w:t>
            </w:r>
            <w:r>
              <w:rPr>
                <w:color w:val="222222"/>
                <w:sz w:val="22"/>
                <w:szCs w:val="22"/>
              </w:rPr>
              <w:t xml:space="preserve">; </w:t>
            </w:r>
            <w:r w:rsidRPr="00F01735">
              <w:rPr>
                <w:color w:val="222222"/>
                <w:sz w:val="22"/>
                <w:szCs w:val="22"/>
              </w:rPr>
              <w:t>then </w:t>
            </w:r>
          </w:p>
          <w:p w:rsidR="008F61B4" w:rsidRPr="00F01735" w:rsidRDefault="00F01735" w:rsidP="00E35201">
            <w:pPr>
              <w:numPr>
                <w:ilvl w:val="0"/>
                <w:numId w:val="27"/>
              </w:numPr>
              <w:shd w:val="clear" w:color="auto" w:fill="FFFFFF"/>
              <w:spacing w:before="100" w:beforeAutospacing="1"/>
              <w:rPr>
                <w:color w:val="222222"/>
                <w:sz w:val="22"/>
                <w:szCs w:val="22"/>
              </w:rPr>
            </w:pPr>
            <w:r w:rsidRPr="00F01735">
              <w:rPr>
                <w:color w:val="222222"/>
                <w:sz w:val="22"/>
                <w:szCs w:val="22"/>
              </w:rPr>
              <w:t xml:space="preserve">Contact </w:t>
            </w:r>
            <w:r>
              <w:rPr>
                <w:color w:val="222222"/>
                <w:sz w:val="22"/>
                <w:szCs w:val="22"/>
              </w:rPr>
              <w:t xml:space="preserve">the </w:t>
            </w:r>
            <w:r w:rsidRPr="00F01735">
              <w:rPr>
                <w:color w:val="222222"/>
                <w:sz w:val="22"/>
                <w:szCs w:val="22"/>
              </w:rPr>
              <w:t>Virginia Fusion Center at (804)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  <w:r w:rsidRPr="00F01735">
              <w:rPr>
                <w:color w:val="222222"/>
                <w:sz w:val="22"/>
                <w:szCs w:val="22"/>
              </w:rPr>
              <w:t>674-2196 or the VFC's email address: </w:t>
            </w:r>
            <w:hyperlink r:id="rId12" w:tgtFrame="_blank" w:history="1">
              <w:r w:rsidRPr="00F01735">
                <w:rPr>
                  <w:rStyle w:val="Hyperlink"/>
                  <w:color w:val="1155CC"/>
                  <w:sz w:val="22"/>
                  <w:szCs w:val="22"/>
                </w:rPr>
                <w:t>vfc@vsp.virginia.gov</w:t>
              </w:r>
            </w:hyperlink>
            <w:r w:rsidRPr="00F01735">
              <w:rPr>
                <w:color w:val="222222"/>
                <w:sz w:val="22"/>
                <w:szCs w:val="22"/>
              </w:rPr>
              <w:t>  for additional instructions</w:t>
            </w:r>
          </w:p>
        </w:tc>
      </w:tr>
    </w:tbl>
    <w:p w:rsidR="007F4BC9" w:rsidRPr="003E3AD9" w:rsidRDefault="007F4BC9" w:rsidP="007F4BC9">
      <w:pPr>
        <w:pStyle w:val="BlockLine"/>
        <w:ind w:left="1620"/>
        <w:rPr>
          <w:sz w:val="16"/>
          <w:szCs w:val="16"/>
        </w:rPr>
      </w:pPr>
    </w:p>
    <w:p w:rsidR="00576165" w:rsidRDefault="00322F97" w:rsidP="00CF65B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Requests for Changes to W2s</w:t>
      </w:r>
    </w:p>
    <w:p w:rsidR="00CF65BD" w:rsidRPr="003844FA" w:rsidRDefault="00CF65BD" w:rsidP="003844FA">
      <w:pPr>
        <w:pStyle w:val="BlockLine"/>
        <w:spacing w:before="120"/>
        <w:ind w:left="1627"/>
        <w:rPr>
          <w:sz w:val="16"/>
          <w:szCs w:val="16"/>
        </w:rPr>
      </w:pP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1620"/>
        <w:gridCol w:w="9090"/>
      </w:tblGrid>
      <w:tr w:rsidR="005F177B" w:rsidTr="00A46731">
        <w:trPr>
          <w:cantSplit/>
        </w:trPr>
        <w:tc>
          <w:tcPr>
            <w:tcW w:w="1620" w:type="dxa"/>
          </w:tcPr>
          <w:p w:rsidR="005F177B" w:rsidRPr="007A5B4F" w:rsidRDefault="004510B6" w:rsidP="002F640D">
            <w:pPr>
              <w:pStyle w:val="Heading5"/>
              <w:rPr>
                <w:szCs w:val="22"/>
              </w:rPr>
            </w:pPr>
            <w:r w:rsidRPr="007A5B4F">
              <w:rPr>
                <w:szCs w:val="22"/>
              </w:rPr>
              <w:t>Internal Control</w:t>
            </w:r>
          </w:p>
        </w:tc>
        <w:tc>
          <w:tcPr>
            <w:tcW w:w="9090" w:type="dxa"/>
          </w:tcPr>
          <w:p w:rsidR="005F177B" w:rsidRPr="007A5B4F" w:rsidRDefault="004510B6" w:rsidP="004510B6">
            <w:pPr>
              <w:pStyle w:val="BlockText"/>
              <w:tabs>
                <w:tab w:val="left" w:pos="4554"/>
              </w:tabs>
              <w:jc w:val="both"/>
              <w:rPr>
                <w:sz w:val="22"/>
                <w:szCs w:val="22"/>
              </w:rPr>
            </w:pPr>
            <w:r w:rsidRPr="007A5B4F">
              <w:rPr>
                <w:sz w:val="22"/>
                <w:szCs w:val="22"/>
              </w:rPr>
              <w:t xml:space="preserve">State Payroll Operations is strengthening the internal controls surrounding requests for changes to W2s.  Because W2s contain sensitive information, all requests </w:t>
            </w:r>
            <w:proofErr w:type="gramStart"/>
            <w:r w:rsidRPr="007A5B4F">
              <w:rPr>
                <w:sz w:val="22"/>
                <w:szCs w:val="22"/>
              </w:rPr>
              <w:t>must be sent</w:t>
            </w:r>
            <w:proofErr w:type="gramEnd"/>
            <w:r w:rsidRPr="007A5B4F">
              <w:rPr>
                <w:sz w:val="22"/>
                <w:szCs w:val="22"/>
              </w:rPr>
              <w:t xml:space="preserve"> in a secure (encrypted) manner.  Please do not fax them or redact any information on the original W2.  </w:t>
            </w:r>
          </w:p>
        </w:tc>
      </w:tr>
    </w:tbl>
    <w:p w:rsidR="00CF65BD" w:rsidRPr="003844FA" w:rsidRDefault="00CF65BD" w:rsidP="003844FA">
      <w:pPr>
        <w:pStyle w:val="BlockLine"/>
        <w:spacing w:before="120"/>
        <w:ind w:left="1627"/>
        <w:rPr>
          <w:sz w:val="16"/>
          <w:szCs w:val="16"/>
        </w:rPr>
      </w:pP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1620"/>
        <w:gridCol w:w="9090"/>
      </w:tblGrid>
      <w:tr w:rsidR="00F730A6" w:rsidTr="00A46731">
        <w:trPr>
          <w:cantSplit/>
        </w:trPr>
        <w:tc>
          <w:tcPr>
            <w:tcW w:w="1620" w:type="dxa"/>
          </w:tcPr>
          <w:p w:rsidR="00F730A6" w:rsidRPr="007A5B4F" w:rsidRDefault="004510B6" w:rsidP="004910BA">
            <w:pPr>
              <w:pStyle w:val="Heading5"/>
              <w:rPr>
                <w:szCs w:val="22"/>
              </w:rPr>
            </w:pPr>
            <w:r w:rsidRPr="007A5B4F">
              <w:rPr>
                <w:szCs w:val="22"/>
              </w:rPr>
              <w:t>Required Information</w:t>
            </w:r>
          </w:p>
        </w:tc>
        <w:tc>
          <w:tcPr>
            <w:tcW w:w="9090" w:type="dxa"/>
          </w:tcPr>
          <w:p w:rsidR="007A5B4F" w:rsidRDefault="007A5B4F" w:rsidP="007A5B4F">
            <w:pPr>
              <w:pStyle w:val="BlockText"/>
              <w:tabs>
                <w:tab w:val="left" w:pos="455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an effort to standardize the information requested, a new form has been created that must accompany a copy of the original W2 when changes are needed</w:t>
            </w:r>
            <w:r w:rsidR="004510B6" w:rsidRPr="007A5B4F">
              <w:rPr>
                <w:sz w:val="22"/>
                <w:szCs w:val="22"/>
              </w:rPr>
              <w:t xml:space="preserve">.  If changes </w:t>
            </w:r>
            <w:proofErr w:type="gramStart"/>
            <w:r w:rsidR="004510B6" w:rsidRPr="007A5B4F">
              <w:rPr>
                <w:sz w:val="22"/>
                <w:szCs w:val="22"/>
              </w:rPr>
              <w:t>have already been requested</w:t>
            </w:r>
            <w:proofErr w:type="gramEnd"/>
            <w:r w:rsidR="004510B6" w:rsidRPr="007A5B4F">
              <w:rPr>
                <w:sz w:val="22"/>
                <w:szCs w:val="22"/>
              </w:rPr>
              <w:t xml:space="preserve">, then include the </w:t>
            </w:r>
            <w:r>
              <w:rPr>
                <w:sz w:val="22"/>
                <w:szCs w:val="22"/>
              </w:rPr>
              <w:t xml:space="preserve">form with a </w:t>
            </w:r>
            <w:r w:rsidR="004510B6" w:rsidRPr="007A5B4F">
              <w:rPr>
                <w:sz w:val="22"/>
                <w:szCs w:val="22"/>
              </w:rPr>
              <w:t>copy of the W2C received in response to the earlier request.</w:t>
            </w:r>
            <w:r>
              <w:rPr>
                <w:sz w:val="22"/>
                <w:szCs w:val="22"/>
              </w:rPr>
              <w:t xml:space="preserve">  Continue to provide the c</w:t>
            </w:r>
            <w:r w:rsidR="004510B6" w:rsidRPr="007A5B4F">
              <w:rPr>
                <w:sz w:val="22"/>
                <w:szCs w:val="22"/>
              </w:rPr>
              <w:t xml:space="preserve">orrected amount </w:t>
            </w:r>
            <w:r>
              <w:rPr>
                <w:sz w:val="22"/>
                <w:szCs w:val="22"/>
              </w:rPr>
              <w:t xml:space="preserve">on the W2 copy </w:t>
            </w:r>
            <w:r w:rsidR="004510B6" w:rsidRPr="007A5B4F">
              <w:rPr>
                <w:sz w:val="22"/>
                <w:szCs w:val="22"/>
              </w:rPr>
              <w:t xml:space="preserve">inside or near the box that </w:t>
            </w:r>
            <w:proofErr w:type="gramStart"/>
            <w:r w:rsidR="004510B6" w:rsidRPr="007A5B4F">
              <w:rPr>
                <w:sz w:val="22"/>
                <w:szCs w:val="22"/>
              </w:rPr>
              <w:t>must be corrected</w:t>
            </w:r>
            <w:proofErr w:type="gramEnd"/>
            <w:r w:rsidR="004510B6" w:rsidRPr="007A5B4F">
              <w:rPr>
                <w:sz w:val="22"/>
                <w:szCs w:val="22"/>
              </w:rPr>
              <w:t xml:space="preserve"> – do not cross through original amount</w:t>
            </w:r>
            <w:r>
              <w:rPr>
                <w:sz w:val="22"/>
                <w:szCs w:val="22"/>
              </w:rPr>
              <w:t>.</w:t>
            </w:r>
          </w:p>
          <w:p w:rsidR="007A5B4F" w:rsidRDefault="007A5B4F" w:rsidP="007A5B4F">
            <w:pPr>
              <w:pStyle w:val="BlockText"/>
              <w:tabs>
                <w:tab w:val="left" w:pos="4554"/>
              </w:tabs>
              <w:jc w:val="both"/>
              <w:rPr>
                <w:sz w:val="22"/>
                <w:szCs w:val="22"/>
              </w:rPr>
            </w:pPr>
          </w:p>
          <w:p w:rsidR="002D4902" w:rsidRDefault="007A5B4F" w:rsidP="007A5B4F">
            <w:pPr>
              <w:pStyle w:val="BlockText"/>
              <w:tabs>
                <w:tab w:val="left" w:pos="455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information on the new form </w:t>
            </w:r>
            <w:proofErr w:type="gramStart"/>
            <w:r>
              <w:rPr>
                <w:sz w:val="22"/>
                <w:szCs w:val="22"/>
              </w:rPr>
              <w:t>must be provided</w:t>
            </w:r>
            <w:proofErr w:type="gramEnd"/>
            <w:r>
              <w:rPr>
                <w:sz w:val="22"/>
                <w:szCs w:val="22"/>
              </w:rPr>
              <w:t xml:space="preserve">.  Failure to provide required information may result in a delay in receiving </w:t>
            </w:r>
            <w:r w:rsidR="00F77C44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W2C.</w:t>
            </w:r>
            <w:r w:rsidR="002D4902">
              <w:rPr>
                <w:sz w:val="22"/>
                <w:szCs w:val="22"/>
              </w:rPr>
              <w:t xml:space="preserve">  The new form can be found on DOA’s website</w:t>
            </w:r>
            <w:r w:rsidR="002D3A18">
              <w:rPr>
                <w:sz w:val="22"/>
                <w:szCs w:val="22"/>
              </w:rPr>
              <w:t xml:space="preserve"> under Payroll Forms:  Miscellaneous Forms</w:t>
            </w:r>
            <w:r w:rsidR="002D4902">
              <w:rPr>
                <w:sz w:val="22"/>
                <w:szCs w:val="22"/>
              </w:rPr>
              <w:t>:</w:t>
            </w:r>
          </w:p>
          <w:p w:rsidR="002D4902" w:rsidRDefault="002D4902" w:rsidP="007A5B4F">
            <w:pPr>
              <w:pStyle w:val="BlockText"/>
              <w:tabs>
                <w:tab w:val="left" w:pos="4554"/>
              </w:tabs>
              <w:jc w:val="both"/>
              <w:rPr>
                <w:sz w:val="22"/>
                <w:szCs w:val="22"/>
              </w:rPr>
            </w:pPr>
          </w:p>
          <w:p w:rsidR="002D3A18" w:rsidRPr="007A5B4F" w:rsidRDefault="00AB5F0A" w:rsidP="007A5B4F">
            <w:pPr>
              <w:pStyle w:val="BlockText"/>
              <w:tabs>
                <w:tab w:val="left" w:pos="4554"/>
              </w:tabs>
              <w:jc w:val="both"/>
              <w:rPr>
                <w:sz w:val="22"/>
                <w:szCs w:val="22"/>
              </w:rPr>
            </w:pPr>
            <w:r w:rsidRPr="007A5B4F">
              <w:rPr>
                <w:sz w:val="22"/>
                <w:szCs w:val="22"/>
              </w:rPr>
              <w:t xml:space="preserve"> </w:t>
            </w:r>
            <w:hyperlink r:id="rId13" w:anchor="payrollop" w:history="1">
              <w:r w:rsidR="002D3A18" w:rsidRPr="00FE15A4">
                <w:rPr>
                  <w:rStyle w:val="Hyperlink"/>
                  <w:sz w:val="22"/>
                  <w:szCs w:val="22"/>
                </w:rPr>
                <w:t>https://www.doa.virginia.gov/forms.shtml#payrollop</w:t>
              </w:r>
            </w:hyperlink>
          </w:p>
        </w:tc>
      </w:tr>
    </w:tbl>
    <w:p w:rsidR="00E96C9A" w:rsidRPr="005732B9" w:rsidRDefault="00F475F2" w:rsidP="006C5D86">
      <w:pPr>
        <w:pStyle w:val="BlockLine"/>
        <w:ind w:left="1620"/>
        <w:jc w:val="right"/>
        <w:rPr>
          <w:i/>
          <w:sz w:val="16"/>
          <w:szCs w:val="16"/>
        </w:rPr>
      </w:pPr>
      <w:r w:rsidRPr="005732B9">
        <w:rPr>
          <w:i/>
          <w:sz w:val="16"/>
          <w:szCs w:val="16"/>
        </w:rPr>
        <w:t>Continued on the next page</w:t>
      </w:r>
    </w:p>
    <w:p w:rsidR="003844FA" w:rsidRDefault="003844F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C5D86" w:rsidRDefault="006C5D86" w:rsidP="006C5D86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Change in Refunding Employee Health Care Premiums for Prior Year</w:t>
      </w:r>
    </w:p>
    <w:p w:rsidR="006C5D86" w:rsidRDefault="006C5D86" w:rsidP="00D02A69">
      <w:pPr>
        <w:pStyle w:val="BlockLine"/>
        <w:spacing w:before="120"/>
        <w:ind w:left="1627"/>
        <w:rPr>
          <w:sz w:val="16"/>
          <w:szCs w:val="16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620"/>
        <w:gridCol w:w="9180"/>
      </w:tblGrid>
      <w:tr w:rsidR="001306D7" w:rsidTr="00A46731">
        <w:trPr>
          <w:cantSplit/>
        </w:trPr>
        <w:tc>
          <w:tcPr>
            <w:tcW w:w="1620" w:type="dxa"/>
          </w:tcPr>
          <w:p w:rsidR="001306D7" w:rsidRPr="007A5B4F" w:rsidRDefault="00412F27" w:rsidP="00985026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 xml:space="preserve">Salary Reduction Agreements and </w:t>
            </w:r>
            <w:r w:rsidR="001306D7">
              <w:rPr>
                <w:szCs w:val="22"/>
              </w:rPr>
              <w:t>Constructive Receipt</w:t>
            </w:r>
          </w:p>
        </w:tc>
        <w:tc>
          <w:tcPr>
            <w:tcW w:w="9180" w:type="dxa"/>
          </w:tcPr>
          <w:p w:rsidR="001306D7" w:rsidRDefault="00412F27" w:rsidP="00691EC4">
            <w:pPr>
              <w:pStyle w:val="BlockText"/>
              <w:tabs>
                <w:tab w:val="left" w:pos="455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IRS recently provided the following guidance </w:t>
            </w:r>
            <w:proofErr w:type="gramStart"/>
            <w:r>
              <w:rPr>
                <w:sz w:val="22"/>
                <w:szCs w:val="22"/>
              </w:rPr>
              <w:t>in response to a question about tax treatment of refunds for prior years made to employees for Section 125, Cafeteria Plan deductions, and Section 132, Qualified Transportation Benefits</w:t>
            </w:r>
            <w:proofErr w:type="gramEnd"/>
            <w:r>
              <w:rPr>
                <w:sz w:val="22"/>
                <w:szCs w:val="22"/>
              </w:rPr>
              <w:t xml:space="preserve">.  Employees who enroll in premium conversion or pre-tax parking elect to have their compensation decreased in exchange for payment of the employee share of health insurance premiums or parking by their employer.  When the employee receives a refund in the following year, the employer is not paying it toward insurance or parking, but paying it to the employee as compensation.  </w:t>
            </w:r>
            <w:r w:rsidR="00611825">
              <w:rPr>
                <w:sz w:val="22"/>
                <w:szCs w:val="22"/>
              </w:rPr>
              <w:t>That amount should be included as ta</w:t>
            </w:r>
            <w:r w:rsidR="00A54825">
              <w:rPr>
                <w:sz w:val="22"/>
                <w:szCs w:val="22"/>
              </w:rPr>
              <w:t xml:space="preserve">xable wages in the current year by </w:t>
            </w:r>
            <w:r w:rsidR="00691EC4">
              <w:rPr>
                <w:sz w:val="22"/>
                <w:szCs w:val="22"/>
              </w:rPr>
              <w:t>compensating</w:t>
            </w:r>
            <w:r w:rsidR="00A54825">
              <w:rPr>
                <w:sz w:val="22"/>
                <w:szCs w:val="22"/>
              </w:rPr>
              <w:t xml:space="preserve"> the employee through payroll using one of the general special pay codes such as 001 or 023.  </w:t>
            </w:r>
            <w:r w:rsidR="00A54825" w:rsidRPr="00B45D7B">
              <w:rPr>
                <w:b/>
                <w:sz w:val="22"/>
                <w:szCs w:val="22"/>
              </w:rPr>
              <w:t xml:space="preserve">Do not process </w:t>
            </w:r>
            <w:r w:rsidR="00496536" w:rsidRPr="00B45D7B">
              <w:rPr>
                <w:b/>
                <w:sz w:val="22"/>
                <w:szCs w:val="22"/>
              </w:rPr>
              <w:t xml:space="preserve">the reimbursement </w:t>
            </w:r>
            <w:r w:rsidR="00691EC4" w:rsidRPr="00B45D7B">
              <w:rPr>
                <w:b/>
                <w:sz w:val="22"/>
                <w:szCs w:val="22"/>
              </w:rPr>
              <w:t xml:space="preserve">as </w:t>
            </w:r>
            <w:r w:rsidR="00A54825" w:rsidRPr="00B45D7B">
              <w:rPr>
                <w:b/>
                <w:sz w:val="22"/>
                <w:szCs w:val="22"/>
              </w:rPr>
              <w:t>a deduction refund</w:t>
            </w:r>
            <w:r w:rsidR="004D3A26" w:rsidRPr="00B45D7B">
              <w:rPr>
                <w:b/>
                <w:sz w:val="22"/>
                <w:szCs w:val="22"/>
              </w:rPr>
              <w:t>; however, if you have not already received a credit from the HIF for the premiums not due, include</w:t>
            </w:r>
            <w:r w:rsidR="00B45D7B">
              <w:rPr>
                <w:b/>
                <w:sz w:val="22"/>
                <w:szCs w:val="22"/>
              </w:rPr>
              <w:t xml:space="preserve"> the transaction on the monthly recon just as you have always done.</w:t>
            </w:r>
            <w:r w:rsidR="004D3A26">
              <w:rPr>
                <w:b/>
                <w:sz w:val="22"/>
                <w:szCs w:val="22"/>
              </w:rPr>
              <w:t xml:space="preserve"> </w:t>
            </w:r>
            <w:r w:rsidR="00691EC4">
              <w:rPr>
                <w:b/>
                <w:sz w:val="22"/>
                <w:szCs w:val="22"/>
              </w:rPr>
              <w:t xml:space="preserve">  </w:t>
            </w:r>
          </w:p>
          <w:p w:rsidR="00691EC4" w:rsidRDefault="00691EC4" w:rsidP="00691EC4">
            <w:pPr>
              <w:pStyle w:val="BlockText"/>
              <w:tabs>
                <w:tab w:val="left" w:pos="4554"/>
              </w:tabs>
              <w:jc w:val="both"/>
              <w:rPr>
                <w:b/>
                <w:sz w:val="22"/>
                <w:szCs w:val="22"/>
              </w:rPr>
            </w:pPr>
          </w:p>
          <w:p w:rsidR="00691EC4" w:rsidRPr="00691EC4" w:rsidRDefault="00691EC4" w:rsidP="00927986">
            <w:pPr>
              <w:pStyle w:val="BlockText"/>
              <w:tabs>
                <w:tab w:val="left" w:pos="455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Remember that retirement contributions do not fall in the same category </w:t>
            </w:r>
            <w:r w:rsidR="00927986">
              <w:rPr>
                <w:sz w:val="22"/>
                <w:szCs w:val="22"/>
              </w:rPr>
              <w:t xml:space="preserve">(they are not salary reduction agreements) </w:t>
            </w:r>
            <w:r>
              <w:rPr>
                <w:sz w:val="22"/>
                <w:szCs w:val="22"/>
              </w:rPr>
              <w:t xml:space="preserve">and are exempt only from FIT and SIT.  Refunds to employees for retirement contributions erroneously deducted in a prior year still require </w:t>
            </w:r>
            <w:r w:rsidR="00927986">
              <w:rPr>
                <w:sz w:val="22"/>
                <w:szCs w:val="22"/>
              </w:rPr>
              <w:t>correction via</w:t>
            </w:r>
            <w:r>
              <w:rPr>
                <w:sz w:val="22"/>
                <w:szCs w:val="22"/>
              </w:rPr>
              <w:t xml:space="preserve"> W2C.</w:t>
            </w:r>
          </w:p>
        </w:tc>
      </w:tr>
    </w:tbl>
    <w:p w:rsidR="001306D7" w:rsidRPr="00180779" w:rsidRDefault="001306D7" w:rsidP="001306D7">
      <w:pPr>
        <w:pStyle w:val="BlockLine"/>
        <w:ind w:left="1620"/>
        <w:rPr>
          <w:sz w:val="16"/>
          <w:szCs w:val="16"/>
        </w:rPr>
      </w:pPr>
    </w:p>
    <w:p w:rsidR="000A6596" w:rsidRDefault="000A6596" w:rsidP="000A6596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VRS Hybrid Recons</w:t>
      </w:r>
    </w:p>
    <w:p w:rsidR="000A6596" w:rsidRDefault="000A6596" w:rsidP="003E3AD9">
      <w:pPr>
        <w:pStyle w:val="BlockLine"/>
        <w:spacing w:before="120"/>
        <w:ind w:left="1627"/>
        <w:rPr>
          <w:sz w:val="16"/>
          <w:szCs w:val="16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620"/>
        <w:gridCol w:w="9180"/>
      </w:tblGrid>
      <w:tr w:rsidR="000A6596" w:rsidTr="00A46731">
        <w:trPr>
          <w:cantSplit/>
        </w:trPr>
        <w:tc>
          <w:tcPr>
            <w:tcW w:w="1620" w:type="dxa"/>
          </w:tcPr>
          <w:p w:rsidR="000A6596" w:rsidRPr="007A5B4F" w:rsidRDefault="00D24968" w:rsidP="00985026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Reconciliation Report</w:t>
            </w:r>
          </w:p>
        </w:tc>
        <w:tc>
          <w:tcPr>
            <w:tcW w:w="9180" w:type="dxa"/>
          </w:tcPr>
          <w:p w:rsidR="000A6596" w:rsidRDefault="000A6596" w:rsidP="003F2966">
            <w:pPr>
              <w:shd w:val="clear" w:color="auto" w:fill="FFFFFF"/>
              <w:jc w:val="both"/>
              <w:rPr>
                <w:color w:val="222222"/>
                <w:sz w:val="22"/>
                <w:szCs w:val="22"/>
              </w:rPr>
            </w:pPr>
            <w:r w:rsidRPr="000A6596">
              <w:rPr>
                <w:color w:val="222222"/>
                <w:sz w:val="22"/>
                <w:szCs w:val="22"/>
              </w:rPr>
              <w:t xml:space="preserve">In addition to the various contribution reconciliation resources available to employers, VRS will be sending a Hybrid Retirement Plan Reconciliation Report to agencies that reflect discrepancies in the defined contribution (DC) contributions confirmed with the Snapshot and contributions posted to the employee’s ICMA-RC account. </w:t>
            </w:r>
            <w:r>
              <w:rPr>
                <w:color w:val="222222"/>
                <w:sz w:val="22"/>
                <w:szCs w:val="22"/>
              </w:rPr>
              <w:t xml:space="preserve">HR and Payroll should work together to review </w:t>
            </w:r>
            <w:r w:rsidRPr="000A6596">
              <w:rPr>
                <w:color w:val="222222"/>
                <w:sz w:val="22"/>
                <w:szCs w:val="22"/>
              </w:rPr>
              <w:t>the discrepancies</w:t>
            </w:r>
            <w:r>
              <w:rPr>
                <w:color w:val="222222"/>
                <w:sz w:val="22"/>
                <w:szCs w:val="22"/>
              </w:rPr>
              <w:t xml:space="preserve">, determine the cause (i.e., discrepancies related to employment changes, etc.) </w:t>
            </w:r>
            <w:r w:rsidRPr="000A6596">
              <w:rPr>
                <w:color w:val="222222"/>
                <w:sz w:val="22"/>
                <w:szCs w:val="22"/>
              </w:rPr>
              <w:t xml:space="preserve">and update the appropriate systems (PMIS, VNAV, </w:t>
            </w:r>
            <w:proofErr w:type="spellStart"/>
            <w:r w:rsidRPr="000A6596">
              <w:rPr>
                <w:color w:val="222222"/>
                <w:sz w:val="22"/>
                <w:szCs w:val="22"/>
              </w:rPr>
              <w:t>etc</w:t>
            </w:r>
            <w:proofErr w:type="spellEnd"/>
            <w:r w:rsidRPr="000A6596">
              <w:rPr>
                <w:color w:val="222222"/>
                <w:sz w:val="22"/>
                <w:szCs w:val="22"/>
              </w:rPr>
              <w:t xml:space="preserve">). </w:t>
            </w:r>
          </w:p>
          <w:p w:rsidR="000A6596" w:rsidRPr="000A6596" w:rsidRDefault="000A6596" w:rsidP="003F2966">
            <w:pPr>
              <w:shd w:val="clear" w:color="auto" w:fill="FFFFFF"/>
              <w:jc w:val="both"/>
              <w:rPr>
                <w:color w:val="222222"/>
                <w:sz w:val="22"/>
                <w:szCs w:val="22"/>
              </w:rPr>
            </w:pPr>
          </w:p>
          <w:p w:rsidR="000A6596" w:rsidRPr="000A6596" w:rsidRDefault="000A6596" w:rsidP="003F2966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Cs w:val="24"/>
              </w:rPr>
            </w:pPr>
            <w:r w:rsidRPr="000A6596">
              <w:rPr>
                <w:color w:val="222222"/>
                <w:sz w:val="22"/>
                <w:szCs w:val="22"/>
              </w:rPr>
              <w:t xml:space="preserve">Please note: This report </w:t>
            </w:r>
            <w:proofErr w:type="gramStart"/>
            <w:r w:rsidRPr="000A6596">
              <w:rPr>
                <w:color w:val="222222"/>
                <w:sz w:val="22"/>
                <w:szCs w:val="22"/>
              </w:rPr>
              <w:t>is generally sent out</w:t>
            </w:r>
            <w:proofErr w:type="gramEnd"/>
            <w:r w:rsidRPr="000A6596">
              <w:rPr>
                <w:color w:val="222222"/>
                <w:sz w:val="22"/>
                <w:szCs w:val="22"/>
              </w:rPr>
              <w:t xml:space="preserve"> on a quarterly basis and is only sent to agencies with discrepancies.</w:t>
            </w:r>
            <w:r w:rsidRPr="00154F97">
              <w:rPr>
                <w:rFonts w:ascii="Segoe UI" w:hAnsi="Segoe UI" w:cs="Segoe UI"/>
                <w:color w:val="222222"/>
                <w:sz w:val="20"/>
              </w:rPr>
              <w:t xml:space="preserve">  </w:t>
            </w:r>
          </w:p>
        </w:tc>
      </w:tr>
    </w:tbl>
    <w:p w:rsidR="000A6596" w:rsidRPr="003E3AD9" w:rsidRDefault="000A6596" w:rsidP="000A6596">
      <w:pPr>
        <w:pStyle w:val="BlockLine"/>
        <w:ind w:left="1620"/>
        <w:rPr>
          <w:sz w:val="16"/>
          <w:szCs w:val="16"/>
        </w:rPr>
      </w:pPr>
    </w:p>
    <w:p w:rsidR="00C53D31" w:rsidRDefault="00C53D31" w:rsidP="00C53D31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Health Insurance Premium Holiday</w:t>
      </w:r>
    </w:p>
    <w:p w:rsidR="00C53D31" w:rsidRDefault="00C53D31" w:rsidP="00C53D31">
      <w:pPr>
        <w:pStyle w:val="BlockLine"/>
        <w:ind w:left="1620"/>
        <w:rPr>
          <w:sz w:val="16"/>
          <w:szCs w:val="16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620"/>
        <w:gridCol w:w="9180"/>
      </w:tblGrid>
      <w:tr w:rsidR="00C53D31" w:rsidTr="00A46731">
        <w:trPr>
          <w:cantSplit/>
        </w:trPr>
        <w:tc>
          <w:tcPr>
            <w:tcW w:w="1620" w:type="dxa"/>
          </w:tcPr>
          <w:p w:rsidR="00C53D31" w:rsidRPr="00707A70" w:rsidRDefault="004A48B8" w:rsidP="00985026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Begin Date on H0ZDC</w:t>
            </w:r>
          </w:p>
        </w:tc>
        <w:tc>
          <w:tcPr>
            <w:tcW w:w="9180" w:type="dxa"/>
          </w:tcPr>
          <w:p w:rsidR="00F66019" w:rsidRDefault="00707A70" w:rsidP="00394E9F">
            <w:pPr>
              <w:shd w:val="clear" w:color="auto" w:fill="FFFFFF"/>
              <w:jc w:val="both"/>
              <w:rPr>
                <w:color w:val="222222"/>
                <w:sz w:val="22"/>
                <w:szCs w:val="22"/>
              </w:rPr>
            </w:pPr>
            <w:r w:rsidRPr="00707A70">
              <w:rPr>
                <w:color w:val="222222"/>
                <w:sz w:val="22"/>
                <w:szCs w:val="22"/>
              </w:rPr>
              <w:t xml:space="preserve">The premium holiday announced by Governor Northam in May will </w:t>
            </w:r>
            <w:r>
              <w:rPr>
                <w:color w:val="222222"/>
                <w:sz w:val="22"/>
                <w:szCs w:val="22"/>
              </w:rPr>
              <w:t>take place</w:t>
            </w:r>
            <w:r w:rsidRPr="00707A70">
              <w:rPr>
                <w:color w:val="222222"/>
                <w:sz w:val="22"/>
                <w:szCs w:val="22"/>
              </w:rPr>
              <w:t xml:space="preserve"> during the month of October 2019.</w:t>
            </w:r>
            <w:r>
              <w:rPr>
                <w:color w:val="222222"/>
                <w:sz w:val="22"/>
                <w:szCs w:val="22"/>
              </w:rPr>
              <w:t xml:space="preserve">  </w:t>
            </w:r>
            <w:r w:rsidR="003844FA">
              <w:rPr>
                <w:color w:val="222222"/>
                <w:sz w:val="22"/>
                <w:szCs w:val="22"/>
              </w:rPr>
              <w:t xml:space="preserve">Payroll deductions for </w:t>
            </w:r>
            <w:r w:rsidR="00DC74EF">
              <w:rPr>
                <w:color w:val="222222"/>
                <w:sz w:val="22"/>
                <w:szCs w:val="22"/>
              </w:rPr>
              <w:t xml:space="preserve">eligible </w:t>
            </w:r>
            <w:r w:rsidR="003844FA">
              <w:rPr>
                <w:color w:val="222222"/>
                <w:sz w:val="22"/>
                <w:szCs w:val="22"/>
              </w:rPr>
              <w:t xml:space="preserve">employee and employer health insurance premiums </w:t>
            </w:r>
            <w:proofErr w:type="gramStart"/>
            <w:r w:rsidR="003844FA">
              <w:rPr>
                <w:color w:val="222222"/>
                <w:sz w:val="22"/>
                <w:szCs w:val="22"/>
              </w:rPr>
              <w:t>will not be taken</w:t>
            </w:r>
            <w:proofErr w:type="gramEnd"/>
            <w:r w:rsidR="003844FA">
              <w:rPr>
                <w:color w:val="222222"/>
                <w:sz w:val="22"/>
                <w:szCs w:val="22"/>
              </w:rPr>
              <w:t xml:space="preserve"> on the 10/16 or 11/1 pay dates.  </w:t>
            </w:r>
            <w:r>
              <w:rPr>
                <w:color w:val="222222"/>
                <w:sz w:val="22"/>
                <w:szCs w:val="22"/>
              </w:rPr>
              <w:t xml:space="preserve">Department of Accounts will load </w:t>
            </w:r>
            <w:r w:rsidR="00A956C0">
              <w:rPr>
                <w:color w:val="222222"/>
                <w:sz w:val="22"/>
                <w:szCs w:val="22"/>
              </w:rPr>
              <w:t xml:space="preserve">mass transactions the night of </w:t>
            </w:r>
            <w:r>
              <w:rPr>
                <w:color w:val="222222"/>
                <w:sz w:val="22"/>
                <w:szCs w:val="22"/>
              </w:rPr>
              <w:t xml:space="preserve">October 1 </w:t>
            </w:r>
            <w:r w:rsidR="00A956C0">
              <w:rPr>
                <w:color w:val="222222"/>
                <w:sz w:val="22"/>
                <w:szCs w:val="22"/>
              </w:rPr>
              <w:t xml:space="preserve">to add a “Begin Date” of 11/01/2019 to deductions </w:t>
            </w:r>
            <w:r>
              <w:rPr>
                <w:color w:val="222222"/>
                <w:sz w:val="22"/>
                <w:szCs w:val="22"/>
              </w:rPr>
              <w:t>024, 025 and 026</w:t>
            </w:r>
            <w:r w:rsidR="00A956C0">
              <w:rPr>
                <w:color w:val="222222"/>
                <w:sz w:val="22"/>
                <w:szCs w:val="22"/>
              </w:rPr>
              <w:t xml:space="preserve"> on H0ZDC.  This will stop the deductions </w:t>
            </w:r>
            <w:r>
              <w:rPr>
                <w:color w:val="222222"/>
                <w:sz w:val="22"/>
                <w:szCs w:val="22"/>
              </w:rPr>
              <w:t xml:space="preserve">from processing during the month of October.  </w:t>
            </w:r>
          </w:p>
          <w:p w:rsidR="00F66019" w:rsidRDefault="00F66019" w:rsidP="00394E9F">
            <w:pPr>
              <w:shd w:val="clear" w:color="auto" w:fill="FFFFFF"/>
              <w:jc w:val="both"/>
              <w:rPr>
                <w:color w:val="222222"/>
                <w:sz w:val="22"/>
                <w:szCs w:val="22"/>
              </w:rPr>
            </w:pPr>
          </w:p>
          <w:p w:rsidR="00C53D31" w:rsidRPr="00707A70" w:rsidRDefault="00F66019" w:rsidP="00F77C44">
            <w:pPr>
              <w:shd w:val="clear" w:color="auto" w:fill="FFFFFF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Please note that the “Begin Date” </w:t>
            </w:r>
            <w:proofErr w:type="gramStart"/>
            <w:r>
              <w:rPr>
                <w:color w:val="222222"/>
                <w:sz w:val="22"/>
                <w:szCs w:val="22"/>
              </w:rPr>
              <w:t>must be removed</w:t>
            </w:r>
            <w:proofErr w:type="gramEnd"/>
            <w:r>
              <w:rPr>
                <w:color w:val="222222"/>
                <w:sz w:val="22"/>
                <w:szCs w:val="22"/>
              </w:rPr>
              <w:t xml:space="preserve"> if adjustments for prior month’s collections, refunds, </w:t>
            </w:r>
            <w:proofErr w:type="spellStart"/>
            <w:r>
              <w:rPr>
                <w:color w:val="222222"/>
                <w:sz w:val="22"/>
                <w:szCs w:val="22"/>
              </w:rPr>
              <w:t>etc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are required during October.  </w:t>
            </w:r>
            <w:r w:rsidR="00E71A1F">
              <w:rPr>
                <w:color w:val="222222"/>
                <w:sz w:val="22"/>
                <w:szCs w:val="22"/>
              </w:rPr>
              <w:t xml:space="preserve">If a refund for a prior month </w:t>
            </w:r>
            <w:proofErr w:type="gramStart"/>
            <w:r w:rsidR="00E71A1F">
              <w:rPr>
                <w:color w:val="222222"/>
                <w:sz w:val="22"/>
                <w:szCs w:val="22"/>
              </w:rPr>
              <w:t>is needed</w:t>
            </w:r>
            <w:proofErr w:type="gramEnd"/>
            <w:r w:rsidR="00E71A1F">
              <w:rPr>
                <w:color w:val="222222"/>
                <w:sz w:val="22"/>
                <w:szCs w:val="22"/>
              </w:rPr>
              <w:t xml:space="preserve"> during October, an override for $0.00 will also be necessary to prevent the normal premium from processing as well.  The “Begin Date” of 11/01/2019 must be re-entered on the H0ZDC screen after certification to prevent premiums from processing for the second half of the month</w:t>
            </w:r>
            <w:r>
              <w:rPr>
                <w:color w:val="222222"/>
                <w:sz w:val="22"/>
                <w:szCs w:val="22"/>
              </w:rPr>
              <w:t xml:space="preserve">.  </w:t>
            </w:r>
            <w:r w:rsidR="00394E9F">
              <w:rPr>
                <w:color w:val="222222"/>
                <w:sz w:val="22"/>
                <w:szCs w:val="22"/>
              </w:rPr>
              <w:t xml:space="preserve">Employees whose enrollment records are effective October 1 but may not interface </w:t>
            </w:r>
            <w:r w:rsidR="00DC74EF">
              <w:rPr>
                <w:color w:val="222222"/>
                <w:sz w:val="22"/>
                <w:szCs w:val="22"/>
              </w:rPr>
              <w:t xml:space="preserve">from BES into CIPPS </w:t>
            </w:r>
            <w:r w:rsidR="00394E9F">
              <w:rPr>
                <w:color w:val="222222"/>
                <w:sz w:val="22"/>
                <w:szCs w:val="22"/>
              </w:rPr>
              <w:t>until November are still eligible for the premium holiday for premiums that normally would have been due for October.</w:t>
            </w:r>
            <w:r w:rsidR="00DC74EF">
              <w:rPr>
                <w:color w:val="222222"/>
                <w:sz w:val="22"/>
                <w:szCs w:val="22"/>
              </w:rPr>
              <w:t xml:space="preserve">  </w:t>
            </w:r>
            <w:r w:rsidR="001E44E3">
              <w:rPr>
                <w:color w:val="222222"/>
                <w:sz w:val="22"/>
                <w:szCs w:val="22"/>
              </w:rPr>
              <w:t xml:space="preserve">The </w:t>
            </w:r>
            <w:r w:rsidR="00DC74EF">
              <w:rPr>
                <w:color w:val="222222"/>
                <w:sz w:val="22"/>
                <w:szCs w:val="22"/>
              </w:rPr>
              <w:t xml:space="preserve">deduction overrides </w:t>
            </w:r>
            <w:r w:rsidR="001E44E3">
              <w:rPr>
                <w:color w:val="222222"/>
                <w:sz w:val="22"/>
                <w:szCs w:val="22"/>
              </w:rPr>
              <w:t xml:space="preserve">normally </w:t>
            </w:r>
            <w:r w:rsidR="00DC74EF">
              <w:rPr>
                <w:color w:val="222222"/>
                <w:sz w:val="22"/>
                <w:szCs w:val="22"/>
              </w:rPr>
              <w:t xml:space="preserve">done </w:t>
            </w:r>
            <w:r w:rsidR="00A925FA">
              <w:rPr>
                <w:color w:val="222222"/>
                <w:sz w:val="22"/>
                <w:szCs w:val="22"/>
              </w:rPr>
              <w:t xml:space="preserve">in November </w:t>
            </w:r>
            <w:r w:rsidR="00DC74EF">
              <w:rPr>
                <w:color w:val="222222"/>
                <w:sz w:val="22"/>
                <w:szCs w:val="22"/>
              </w:rPr>
              <w:t xml:space="preserve">to collect the retroactive premiums </w:t>
            </w:r>
            <w:r w:rsidR="00A925FA">
              <w:rPr>
                <w:color w:val="222222"/>
                <w:sz w:val="22"/>
                <w:szCs w:val="22"/>
              </w:rPr>
              <w:t xml:space="preserve">for October </w:t>
            </w:r>
            <w:r w:rsidR="00DC74EF">
              <w:rPr>
                <w:color w:val="222222"/>
                <w:sz w:val="22"/>
                <w:szCs w:val="22"/>
              </w:rPr>
              <w:t>will be unnecessary.</w:t>
            </w:r>
            <w:r w:rsidR="00394E9F">
              <w:rPr>
                <w:color w:val="222222"/>
                <w:sz w:val="22"/>
                <w:szCs w:val="22"/>
              </w:rPr>
              <w:t xml:space="preserve">   </w:t>
            </w:r>
            <w:r w:rsidR="00707A70">
              <w:rPr>
                <w:color w:val="222222"/>
                <w:sz w:val="22"/>
                <w:szCs w:val="22"/>
              </w:rPr>
              <w:t xml:space="preserve">     </w:t>
            </w:r>
          </w:p>
        </w:tc>
      </w:tr>
    </w:tbl>
    <w:p w:rsidR="00C53D31" w:rsidRDefault="00C53D31" w:rsidP="00ED7423">
      <w:pPr>
        <w:pStyle w:val="BlockLine"/>
        <w:spacing w:before="120"/>
        <w:ind w:left="1627"/>
        <w:rPr>
          <w:sz w:val="16"/>
          <w:szCs w:val="16"/>
        </w:rPr>
      </w:pPr>
    </w:p>
    <w:p w:rsidR="00DC74EF" w:rsidRDefault="00DC74E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DC74EF" w:rsidRDefault="00DC74EF" w:rsidP="00DC74EF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Health Insurance Premium Holiday, cont.</w:t>
      </w:r>
    </w:p>
    <w:p w:rsidR="00DC74EF" w:rsidRDefault="00DC74EF" w:rsidP="00DC74EF">
      <w:pPr>
        <w:pStyle w:val="BlockLine"/>
        <w:spacing w:before="120"/>
        <w:ind w:left="1627"/>
        <w:rPr>
          <w:sz w:val="16"/>
          <w:szCs w:val="16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620"/>
        <w:gridCol w:w="9180"/>
      </w:tblGrid>
      <w:tr w:rsidR="00707A70" w:rsidTr="00A46731">
        <w:trPr>
          <w:cantSplit/>
        </w:trPr>
        <w:tc>
          <w:tcPr>
            <w:tcW w:w="1620" w:type="dxa"/>
          </w:tcPr>
          <w:p w:rsidR="00707A70" w:rsidRPr="00707A70" w:rsidRDefault="00707A70" w:rsidP="00985026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TRICARE</w:t>
            </w:r>
          </w:p>
        </w:tc>
        <w:tc>
          <w:tcPr>
            <w:tcW w:w="9180" w:type="dxa"/>
          </w:tcPr>
          <w:p w:rsidR="00707A70" w:rsidRPr="00707A70" w:rsidRDefault="00707A70" w:rsidP="003F2966">
            <w:pPr>
              <w:shd w:val="clear" w:color="auto" w:fill="FFFFFF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The mass transactions that will load the “Begin Date” will </w:t>
            </w:r>
            <w:proofErr w:type="gramStart"/>
            <w:r>
              <w:rPr>
                <w:color w:val="222222"/>
                <w:sz w:val="22"/>
                <w:szCs w:val="22"/>
              </w:rPr>
              <w:t>impact</w:t>
            </w:r>
            <w:proofErr w:type="gramEnd"/>
            <w:r>
              <w:rPr>
                <w:color w:val="222222"/>
                <w:sz w:val="22"/>
                <w:szCs w:val="22"/>
              </w:rPr>
              <w:t xml:space="preserve"> all health care deductions, regardless of Provider Code.  On October 2</w:t>
            </w:r>
            <w:r w:rsidR="008A4A69">
              <w:rPr>
                <w:color w:val="222222"/>
                <w:sz w:val="22"/>
                <w:szCs w:val="22"/>
              </w:rPr>
              <w:t>,</w:t>
            </w:r>
            <w:r>
              <w:rPr>
                <w:color w:val="222222"/>
                <w:sz w:val="22"/>
                <w:szCs w:val="22"/>
              </w:rPr>
              <w:t xml:space="preserve"> DOA will manually remove the “Begin Date” for employees in TRICARE since they are not included in the premium holiday.  It </w:t>
            </w:r>
            <w:proofErr w:type="gramStart"/>
            <w:r>
              <w:rPr>
                <w:color w:val="222222"/>
                <w:sz w:val="22"/>
                <w:szCs w:val="22"/>
              </w:rPr>
              <w:t>is recommended</w:t>
            </w:r>
            <w:proofErr w:type="gramEnd"/>
            <w:r>
              <w:rPr>
                <w:color w:val="222222"/>
                <w:sz w:val="22"/>
                <w:szCs w:val="22"/>
              </w:rPr>
              <w:t xml:space="preserve"> that a</w:t>
            </w:r>
            <w:r w:rsidR="007C3B6B">
              <w:rPr>
                <w:color w:val="222222"/>
                <w:sz w:val="22"/>
                <w:szCs w:val="22"/>
              </w:rPr>
              <w:t>gency</w:t>
            </w:r>
            <w:r>
              <w:rPr>
                <w:color w:val="222222"/>
                <w:sz w:val="22"/>
                <w:szCs w:val="22"/>
              </w:rPr>
              <w:t xml:space="preserve"> review of records for those employees should be conducted on October 3 or 4 to ensure all TRICARE participants have been updated.</w:t>
            </w:r>
          </w:p>
        </w:tc>
      </w:tr>
    </w:tbl>
    <w:p w:rsidR="00707A70" w:rsidRPr="00ED7423" w:rsidRDefault="00707A70" w:rsidP="00ED7423">
      <w:pPr>
        <w:pStyle w:val="BlockLine"/>
        <w:spacing w:before="120"/>
        <w:ind w:left="1627"/>
        <w:rPr>
          <w:sz w:val="16"/>
          <w:szCs w:val="16"/>
        </w:rPr>
      </w:pP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1620"/>
        <w:gridCol w:w="9090"/>
      </w:tblGrid>
      <w:tr w:rsidR="005732B9" w:rsidRPr="00707A70" w:rsidTr="00A46731">
        <w:trPr>
          <w:cantSplit/>
        </w:trPr>
        <w:tc>
          <w:tcPr>
            <w:tcW w:w="1620" w:type="dxa"/>
          </w:tcPr>
          <w:p w:rsidR="005732B9" w:rsidRPr="00707A70" w:rsidRDefault="005732B9" w:rsidP="00985026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BES Daily Interface</w:t>
            </w:r>
          </w:p>
        </w:tc>
        <w:tc>
          <w:tcPr>
            <w:tcW w:w="9090" w:type="dxa"/>
          </w:tcPr>
          <w:p w:rsidR="005732B9" w:rsidRPr="00707A70" w:rsidRDefault="005732B9" w:rsidP="003F2966">
            <w:pPr>
              <w:shd w:val="clear" w:color="auto" w:fill="FFFFFF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PMIS files will continue to interface with CIPPS on a daily basis.  Enrollments or changes that come through the interface will require agency intervention to add</w:t>
            </w:r>
            <w:r w:rsidR="00536E2C">
              <w:rPr>
                <w:color w:val="222222"/>
                <w:sz w:val="22"/>
                <w:szCs w:val="22"/>
              </w:rPr>
              <w:t xml:space="preserve"> or replace</w:t>
            </w:r>
            <w:r>
              <w:rPr>
                <w:color w:val="222222"/>
                <w:sz w:val="22"/>
                <w:szCs w:val="22"/>
              </w:rPr>
              <w:t xml:space="preserve"> the “Begin Date” </w:t>
            </w:r>
            <w:r w:rsidR="00536E2C">
              <w:rPr>
                <w:color w:val="222222"/>
                <w:sz w:val="22"/>
                <w:szCs w:val="22"/>
              </w:rPr>
              <w:t xml:space="preserve">on </w:t>
            </w:r>
            <w:r>
              <w:rPr>
                <w:color w:val="222222"/>
                <w:sz w:val="22"/>
                <w:szCs w:val="22"/>
              </w:rPr>
              <w:t xml:space="preserve">deductions 024, 025 and 026 on H0ZDC.  </w:t>
            </w:r>
          </w:p>
        </w:tc>
      </w:tr>
    </w:tbl>
    <w:p w:rsidR="005732B9" w:rsidRPr="00ED7423" w:rsidRDefault="005732B9" w:rsidP="005732B9">
      <w:pPr>
        <w:pStyle w:val="BlockLine"/>
        <w:spacing w:before="120"/>
        <w:ind w:left="1627"/>
        <w:rPr>
          <w:sz w:val="16"/>
          <w:szCs w:val="16"/>
        </w:rPr>
      </w:pP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1620"/>
        <w:gridCol w:w="9090"/>
      </w:tblGrid>
      <w:tr w:rsidR="003844FA" w:rsidTr="00A46731">
        <w:trPr>
          <w:cantSplit/>
        </w:trPr>
        <w:tc>
          <w:tcPr>
            <w:tcW w:w="1620" w:type="dxa"/>
          </w:tcPr>
          <w:p w:rsidR="003844FA" w:rsidRPr="00707A70" w:rsidRDefault="003A3776" w:rsidP="00985026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Monthly Reconciliation</w:t>
            </w:r>
          </w:p>
        </w:tc>
        <w:tc>
          <w:tcPr>
            <w:tcW w:w="9090" w:type="dxa"/>
          </w:tcPr>
          <w:p w:rsidR="003844FA" w:rsidRPr="00707A70" w:rsidRDefault="003A3776" w:rsidP="007C3B6B">
            <w:pPr>
              <w:shd w:val="clear" w:color="auto" w:fill="FFFFFF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The normal monthly reconciliation will still process at the end of October; however, it is unlikely that there will be </w:t>
            </w:r>
            <w:r w:rsidR="00BB33AD">
              <w:rPr>
                <w:color w:val="222222"/>
                <w:sz w:val="22"/>
                <w:szCs w:val="22"/>
              </w:rPr>
              <w:t xml:space="preserve">many, if any, </w:t>
            </w:r>
            <w:r>
              <w:rPr>
                <w:color w:val="222222"/>
                <w:sz w:val="22"/>
                <w:szCs w:val="22"/>
              </w:rPr>
              <w:t>auto charges since nothing will be due for the month of October for all plans except TRICARE.  Agencies will still need to complete the</w:t>
            </w:r>
            <w:r w:rsidR="007C3B6B">
              <w:rPr>
                <w:color w:val="222222"/>
                <w:sz w:val="22"/>
                <w:szCs w:val="22"/>
              </w:rPr>
              <w:t xml:space="preserve"> monthly</w:t>
            </w:r>
            <w:r>
              <w:rPr>
                <w:color w:val="222222"/>
                <w:sz w:val="22"/>
                <w:szCs w:val="22"/>
              </w:rPr>
              <w:t xml:space="preserve"> recon and submit ATAs to receive any credits due </w:t>
            </w:r>
            <w:proofErr w:type="gramStart"/>
            <w:r>
              <w:rPr>
                <w:color w:val="222222"/>
                <w:sz w:val="22"/>
                <w:szCs w:val="22"/>
              </w:rPr>
              <w:t>as a result</w:t>
            </w:r>
            <w:proofErr w:type="gramEnd"/>
            <w:r>
              <w:rPr>
                <w:color w:val="222222"/>
                <w:sz w:val="22"/>
                <w:szCs w:val="22"/>
              </w:rPr>
              <w:t xml:space="preserve"> of adjustments</w:t>
            </w:r>
            <w:r w:rsidR="007C3B6B">
              <w:rPr>
                <w:color w:val="222222"/>
                <w:sz w:val="22"/>
                <w:szCs w:val="22"/>
              </w:rPr>
              <w:t xml:space="preserve"> for prior months</w:t>
            </w:r>
            <w:r>
              <w:rPr>
                <w:color w:val="222222"/>
                <w:sz w:val="22"/>
                <w:szCs w:val="22"/>
              </w:rPr>
              <w:t xml:space="preserve"> that may have been processed during October.</w:t>
            </w:r>
            <w:r w:rsidR="003844FA">
              <w:rPr>
                <w:color w:val="222222"/>
                <w:sz w:val="22"/>
                <w:szCs w:val="22"/>
              </w:rPr>
              <w:t xml:space="preserve"> </w:t>
            </w:r>
          </w:p>
        </w:tc>
      </w:tr>
    </w:tbl>
    <w:p w:rsidR="003844FA" w:rsidRPr="004211E8" w:rsidRDefault="003844FA" w:rsidP="004211E8">
      <w:pPr>
        <w:pStyle w:val="BlockLine"/>
        <w:spacing w:before="120"/>
        <w:ind w:left="1627"/>
        <w:rPr>
          <w:sz w:val="16"/>
          <w:szCs w:val="16"/>
        </w:rPr>
      </w:pPr>
    </w:p>
    <w:p w:rsidR="00937AD0" w:rsidRDefault="00937AD0" w:rsidP="00937AD0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Employee Position Numbers</w:t>
      </w:r>
    </w:p>
    <w:p w:rsidR="00937AD0" w:rsidRPr="006F28F1" w:rsidRDefault="00937AD0" w:rsidP="006F28F1">
      <w:pPr>
        <w:pStyle w:val="BlockLine"/>
        <w:spacing w:before="120"/>
        <w:ind w:left="1627"/>
        <w:rPr>
          <w:sz w:val="16"/>
          <w:szCs w:val="16"/>
        </w:rPr>
      </w:pP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1620"/>
        <w:gridCol w:w="9090"/>
      </w:tblGrid>
      <w:tr w:rsidR="00937AD0" w:rsidTr="00A46731">
        <w:trPr>
          <w:cantSplit/>
        </w:trPr>
        <w:tc>
          <w:tcPr>
            <w:tcW w:w="1620" w:type="dxa"/>
          </w:tcPr>
          <w:p w:rsidR="00937AD0" w:rsidRPr="002B6C0A" w:rsidRDefault="00937AD0" w:rsidP="00985026">
            <w:pPr>
              <w:pStyle w:val="Heading5"/>
              <w:rPr>
                <w:szCs w:val="22"/>
              </w:rPr>
            </w:pPr>
            <w:r w:rsidRPr="002B6C0A">
              <w:rPr>
                <w:szCs w:val="22"/>
              </w:rPr>
              <w:t>H0BUO</w:t>
            </w:r>
          </w:p>
        </w:tc>
        <w:tc>
          <w:tcPr>
            <w:tcW w:w="9090" w:type="dxa"/>
          </w:tcPr>
          <w:p w:rsidR="00937AD0" w:rsidRPr="002B6C0A" w:rsidRDefault="00937AD0" w:rsidP="003F2966">
            <w:pPr>
              <w:pStyle w:val="BlockText"/>
              <w:tabs>
                <w:tab w:val="left" w:pos="4554"/>
              </w:tabs>
              <w:jc w:val="both"/>
              <w:rPr>
                <w:sz w:val="22"/>
                <w:szCs w:val="22"/>
              </w:rPr>
            </w:pPr>
            <w:r w:rsidRPr="002B6C0A">
              <w:rPr>
                <w:sz w:val="22"/>
                <w:szCs w:val="22"/>
              </w:rPr>
              <w:t xml:space="preserve">Effective July 1 a new field </w:t>
            </w:r>
            <w:proofErr w:type="gramStart"/>
            <w:r w:rsidRPr="002B6C0A">
              <w:rPr>
                <w:sz w:val="22"/>
                <w:szCs w:val="22"/>
              </w:rPr>
              <w:t>was added</w:t>
            </w:r>
            <w:proofErr w:type="gramEnd"/>
            <w:r w:rsidRPr="002B6C0A">
              <w:rPr>
                <w:sz w:val="22"/>
                <w:szCs w:val="22"/>
              </w:rPr>
              <w:t xml:space="preserve"> to the H0BUO screen for employee position number for both wage and salaried positions.  Position number </w:t>
            </w:r>
            <w:proofErr w:type="gramStart"/>
            <w:r w:rsidRPr="002B6C0A">
              <w:rPr>
                <w:sz w:val="22"/>
                <w:szCs w:val="22"/>
              </w:rPr>
              <w:t>has been added</w:t>
            </w:r>
            <w:proofErr w:type="gramEnd"/>
            <w:r w:rsidRPr="002B6C0A">
              <w:rPr>
                <w:sz w:val="22"/>
                <w:szCs w:val="22"/>
              </w:rPr>
              <w:t xml:space="preserve"> to most reports created by CIPPS.  The field name that shows on the 1006 is Personnel Const7.  Position Number </w:t>
            </w:r>
            <w:proofErr w:type="gramStart"/>
            <w:r w:rsidRPr="002B6C0A">
              <w:rPr>
                <w:sz w:val="22"/>
                <w:szCs w:val="22"/>
              </w:rPr>
              <w:t>has also been added</w:t>
            </w:r>
            <w:proofErr w:type="gramEnd"/>
            <w:r w:rsidRPr="002B6C0A">
              <w:rPr>
                <w:sz w:val="22"/>
                <w:szCs w:val="22"/>
              </w:rPr>
              <w:t xml:space="preserve"> to the PMIS/CIPPS Data Discrepancies Reports that run at the end of each pay period.  The Employee Masterfile Query in PAT also includes position number.     </w:t>
            </w:r>
          </w:p>
        </w:tc>
      </w:tr>
    </w:tbl>
    <w:p w:rsidR="00937AD0" w:rsidRDefault="00937AD0" w:rsidP="002B6C0A">
      <w:pPr>
        <w:pStyle w:val="BlockLine"/>
        <w:spacing w:before="120"/>
        <w:ind w:left="1627"/>
        <w:rPr>
          <w:sz w:val="16"/>
          <w:szCs w:val="16"/>
        </w:rPr>
      </w:pP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1620"/>
        <w:gridCol w:w="9090"/>
      </w:tblGrid>
      <w:tr w:rsidR="00937AD0" w:rsidTr="00A46731">
        <w:trPr>
          <w:cantSplit/>
        </w:trPr>
        <w:tc>
          <w:tcPr>
            <w:tcW w:w="1620" w:type="dxa"/>
          </w:tcPr>
          <w:p w:rsidR="00937AD0" w:rsidRPr="002B6C0A" w:rsidRDefault="00937AD0" w:rsidP="00985026">
            <w:pPr>
              <w:pStyle w:val="Heading5"/>
              <w:rPr>
                <w:szCs w:val="22"/>
              </w:rPr>
            </w:pPr>
            <w:r w:rsidRPr="002B6C0A">
              <w:rPr>
                <w:szCs w:val="22"/>
              </w:rPr>
              <w:t>PMIS Agencies</w:t>
            </w:r>
          </w:p>
        </w:tc>
        <w:tc>
          <w:tcPr>
            <w:tcW w:w="9090" w:type="dxa"/>
          </w:tcPr>
          <w:p w:rsidR="000866A9" w:rsidRDefault="00937AD0" w:rsidP="003F2966">
            <w:pPr>
              <w:pStyle w:val="BlockText"/>
              <w:tabs>
                <w:tab w:val="left" w:pos="4554"/>
              </w:tabs>
              <w:jc w:val="both"/>
              <w:rPr>
                <w:sz w:val="22"/>
                <w:szCs w:val="22"/>
              </w:rPr>
            </w:pPr>
            <w:r w:rsidRPr="002B6C0A">
              <w:rPr>
                <w:sz w:val="22"/>
                <w:szCs w:val="22"/>
              </w:rPr>
              <w:t xml:space="preserve">Initial values for PMIS agencies were loaded from the PME480 and PMW480 files dated June 25.  Position numbers </w:t>
            </w:r>
            <w:proofErr w:type="gramStart"/>
            <w:r w:rsidRPr="002B6C0A">
              <w:rPr>
                <w:sz w:val="22"/>
                <w:szCs w:val="22"/>
              </w:rPr>
              <w:t>are updated</w:t>
            </w:r>
            <w:proofErr w:type="gramEnd"/>
            <w:r w:rsidRPr="002B6C0A">
              <w:rPr>
                <w:sz w:val="22"/>
                <w:szCs w:val="22"/>
              </w:rPr>
              <w:t xml:space="preserve"> as changes occur through the daily wa</w:t>
            </w:r>
            <w:r w:rsidR="000866A9">
              <w:rPr>
                <w:sz w:val="22"/>
                <w:szCs w:val="22"/>
              </w:rPr>
              <w:t>ge and salary interface files.</w:t>
            </w:r>
          </w:p>
          <w:p w:rsidR="000866A9" w:rsidRDefault="000866A9" w:rsidP="003F2966">
            <w:pPr>
              <w:pStyle w:val="BlockText"/>
              <w:tabs>
                <w:tab w:val="left" w:pos="4554"/>
              </w:tabs>
              <w:jc w:val="both"/>
              <w:rPr>
                <w:sz w:val="22"/>
                <w:szCs w:val="22"/>
              </w:rPr>
            </w:pPr>
          </w:p>
          <w:p w:rsidR="00937AD0" w:rsidRPr="002B6C0A" w:rsidRDefault="000866A9" w:rsidP="003F2966">
            <w:pPr>
              <w:pStyle w:val="BlockText"/>
              <w:tabs>
                <w:tab w:val="left" w:pos="455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Agencies not participating in the wage interface are responsible for maintaining position number data as changes occur.</w:t>
            </w:r>
            <w:r w:rsidR="00937AD0" w:rsidRPr="002B6C0A">
              <w:rPr>
                <w:sz w:val="22"/>
                <w:szCs w:val="22"/>
              </w:rPr>
              <w:t xml:space="preserve">       </w:t>
            </w:r>
          </w:p>
        </w:tc>
      </w:tr>
    </w:tbl>
    <w:p w:rsidR="00937AD0" w:rsidRDefault="00937AD0" w:rsidP="002B6C0A">
      <w:pPr>
        <w:pStyle w:val="BlockLine"/>
        <w:spacing w:before="120"/>
        <w:ind w:left="1627"/>
        <w:rPr>
          <w:sz w:val="16"/>
          <w:szCs w:val="16"/>
        </w:rPr>
      </w:pP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1620"/>
        <w:gridCol w:w="9090"/>
      </w:tblGrid>
      <w:tr w:rsidR="00937AD0" w:rsidTr="00A46731">
        <w:trPr>
          <w:cantSplit/>
          <w:trHeight w:val="257"/>
        </w:trPr>
        <w:tc>
          <w:tcPr>
            <w:tcW w:w="1620" w:type="dxa"/>
          </w:tcPr>
          <w:p w:rsidR="00937AD0" w:rsidRPr="002B6C0A" w:rsidRDefault="00937AD0" w:rsidP="00985026">
            <w:pPr>
              <w:pStyle w:val="Heading5"/>
              <w:rPr>
                <w:szCs w:val="22"/>
              </w:rPr>
            </w:pPr>
            <w:r w:rsidRPr="002B6C0A">
              <w:rPr>
                <w:szCs w:val="22"/>
              </w:rPr>
              <w:t>Non-PMIS Agencies</w:t>
            </w:r>
          </w:p>
        </w:tc>
        <w:tc>
          <w:tcPr>
            <w:tcW w:w="9090" w:type="dxa"/>
          </w:tcPr>
          <w:p w:rsidR="00937AD0" w:rsidRPr="002B6C0A" w:rsidRDefault="00937AD0" w:rsidP="00EA36E7">
            <w:pPr>
              <w:pStyle w:val="BlockText"/>
              <w:tabs>
                <w:tab w:val="left" w:pos="4554"/>
              </w:tabs>
              <w:jc w:val="both"/>
              <w:rPr>
                <w:sz w:val="22"/>
                <w:szCs w:val="22"/>
              </w:rPr>
            </w:pPr>
            <w:r w:rsidRPr="002B6C0A">
              <w:rPr>
                <w:sz w:val="22"/>
                <w:szCs w:val="22"/>
              </w:rPr>
              <w:t>Position number is an optional field for non-PMIS agencies at this time; however, at some point it may become mandatory.  Please contact State Payroll Operations if you are</w:t>
            </w:r>
            <w:r w:rsidR="00EA36E7">
              <w:rPr>
                <w:sz w:val="22"/>
                <w:szCs w:val="22"/>
              </w:rPr>
              <w:t xml:space="preserve"> </w:t>
            </w:r>
            <w:r w:rsidRPr="002B6C0A">
              <w:rPr>
                <w:sz w:val="22"/>
                <w:szCs w:val="22"/>
              </w:rPr>
              <w:t>interested in populating the</w:t>
            </w:r>
            <w:r w:rsidR="00EA36E7">
              <w:rPr>
                <w:sz w:val="22"/>
                <w:szCs w:val="22"/>
              </w:rPr>
              <w:t xml:space="preserve"> position number field in CIPPS</w:t>
            </w:r>
            <w:r w:rsidRPr="002B6C0A">
              <w:rPr>
                <w:sz w:val="22"/>
                <w:szCs w:val="22"/>
              </w:rPr>
              <w:t xml:space="preserve">.  Keep in mind that </w:t>
            </w:r>
            <w:proofErr w:type="spellStart"/>
            <w:r w:rsidRPr="002B6C0A">
              <w:rPr>
                <w:sz w:val="22"/>
                <w:szCs w:val="22"/>
              </w:rPr>
              <w:t>maintainance</w:t>
            </w:r>
            <w:proofErr w:type="spellEnd"/>
            <w:r w:rsidRPr="002B6C0A">
              <w:rPr>
                <w:sz w:val="22"/>
                <w:szCs w:val="22"/>
              </w:rPr>
              <w:t xml:space="preserve"> will be required to keep the field current once values have been added.</w:t>
            </w:r>
          </w:p>
        </w:tc>
      </w:tr>
    </w:tbl>
    <w:p w:rsidR="00937AD0" w:rsidRPr="002B6C0A" w:rsidRDefault="00937AD0" w:rsidP="002B6C0A">
      <w:pPr>
        <w:pStyle w:val="BlockLine"/>
        <w:spacing w:before="120"/>
        <w:ind w:left="1627"/>
        <w:rPr>
          <w:sz w:val="16"/>
          <w:szCs w:val="16"/>
        </w:rPr>
      </w:pPr>
    </w:p>
    <w:p w:rsidR="00154F97" w:rsidRDefault="00154F97">
      <w:pPr>
        <w:rPr>
          <w:b/>
          <w:bCs/>
          <w:color w:val="000000"/>
          <w:sz w:val="28"/>
          <w:szCs w:val="28"/>
        </w:rPr>
      </w:pPr>
    </w:p>
    <w:sectPr w:rsidR="00154F97" w:rsidSect="00EB46C9">
      <w:headerReference w:type="default" r:id="rId14"/>
      <w:footerReference w:type="default" r:id="rId15"/>
      <w:pgSz w:w="12240" w:h="15840" w:code="1"/>
      <w:pgMar w:top="994" w:right="720" w:bottom="540" w:left="720" w:header="432" w:footer="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4D" w:rsidRDefault="00316A4D" w:rsidP="007C617C">
      <w:pPr>
        <w:pStyle w:val="TableText"/>
      </w:pPr>
      <w:r>
        <w:separator/>
      </w:r>
    </w:p>
  </w:endnote>
  <w:endnote w:type="continuationSeparator" w:id="0">
    <w:p w:rsidR="00316A4D" w:rsidRDefault="00316A4D" w:rsidP="007C617C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0F" w:rsidRDefault="00FB560F" w:rsidP="00FB560F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rStyle w:val="PageNumber"/>
      </w:rPr>
    </w:pPr>
    <w:r>
      <w:rPr>
        <w:i/>
        <w:snapToGrid w:val="0"/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0DEB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60DEB">
      <w:rPr>
        <w:rStyle w:val="PageNumber"/>
        <w:noProof/>
      </w:rPr>
      <w:t>4</w:t>
    </w:r>
    <w:r>
      <w:rPr>
        <w:rStyle w:val="PageNumber"/>
      </w:rPr>
      <w:fldChar w:fldCharType="end"/>
    </w:r>
  </w:p>
  <w:p w:rsidR="009D3C2C" w:rsidRDefault="009D3C2C" w:rsidP="00FB560F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</w:p>
  <w:p w:rsidR="006C52CC" w:rsidRPr="00FB560F" w:rsidRDefault="005C1DB6" w:rsidP="005C1DB6">
    <w:pPr>
      <w:pStyle w:val="Footer"/>
      <w:jc w:val="center"/>
    </w:pPr>
    <w:r w:rsidRPr="005C1DB6">
      <w:rPr>
        <w:rStyle w:val="Hyperlink"/>
        <w:i/>
        <w:iCs/>
        <w:snapToGrid w:val="0"/>
        <w:sz w:val="22"/>
      </w:rPr>
      <w:t>https://www.doa.virginia.gov/reference/payroll/bulletins.shtml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4D" w:rsidRDefault="00316A4D" w:rsidP="007C617C">
      <w:pPr>
        <w:pStyle w:val="TableText"/>
      </w:pPr>
      <w:r>
        <w:separator/>
      </w:r>
    </w:p>
  </w:footnote>
  <w:footnote w:type="continuationSeparator" w:id="0">
    <w:p w:rsidR="00316A4D" w:rsidRDefault="00316A4D" w:rsidP="007C617C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0F" w:rsidRDefault="00FB560F" w:rsidP="00FB560F">
    <w:pPr>
      <w:pStyle w:val="Header"/>
      <w:jc w:val="center"/>
      <w:rPr>
        <w:sz w:val="16"/>
      </w:rPr>
    </w:pPr>
  </w:p>
  <w:tbl>
    <w:tblPr>
      <w:tblW w:w="10998" w:type="dxa"/>
      <w:tblInd w:w="-90" w:type="dxa"/>
      <w:tblLayout w:type="fixed"/>
      <w:tblLook w:val="0000" w:firstRow="0" w:lastRow="0" w:firstColumn="0" w:lastColumn="0" w:noHBand="0" w:noVBand="0"/>
    </w:tblPr>
    <w:tblGrid>
      <w:gridCol w:w="3456"/>
      <w:gridCol w:w="3366"/>
      <w:gridCol w:w="4176"/>
    </w:tblGrid>
    <w:tr w:rsidR="002D2C04" w:rsidTr="000C570C">
      <w:trPr>
        <w:cantSplit/>
      </w:trPr>
      <w:tc>
        <w:tcPr>
          <w:tcW w:w="3456" w:type="dxa"/>
          <w:tcBorders>
            <w:bottom w:val="double" w:sz="6" w:space="0" w:color="auto"/>
          </w:tcBorders>
        </w:tcPr>
        <w:p w:rsidR="002D2C04" w:rsidRDefault="002D2C04" w:rsidP="002D2C04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2019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2D2C04" w:rsidRDefault="002D2C04" w:rsidP="002D2C04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September 06, 2019</w:t>
          </w:r>
        </w:p>
      </w:tc>
      <w:tc>
        <w:tcPr>
          <w:tcW w:w="4176" w:type="dxa"/>
          <w:tcBorders>
            <w:bottom w:val="double" w:sz="6" w:space="0" w:color="auto"/>
          </w:tcBorders>
        </w:tcPr>
        <w:p w:rsidR="002D2C04" w:rsidRDefault="002D2C04" w:rsidP="00860DEB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2019-0</w:t>
          </w:r>
          <w:r w:rsidR="00860DEB">
            <w:rPr>
              <w:b/>
              <w:sz w:val="20"/>
            </w:rPr>
            <w:t>7</w:t>
          </w:r>
          <w:r>
            <w:rPr>
              <w:b/>
              <w:sz w:val="20"/>
            </w:rPr>
            <w:t xml:space="preserve"> </w:t>
          </w:r>
        </w:p>
      </w:tc>
    </w:tr>
  </w:tbl>
  <w:p w:rsidR="002D2C04" w:rsidRPr="00D467F1" w:rsidRDefault="002D2C04" w:rsidP="002D2C04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C25"/>
    <w:multiLevelType w:val="hybridMultilevel"/>
    <w:tmpl w:val="8E82812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03690A23"/>
    <w:multiLevelType w:val="hybridMultilevel"/>
    <w:tmpl w:val="D1C2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1228"/>
    <w:multiLevelType w:val="hybridMultilevel"/>
    <w:tmpl w:val="9222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16FF"/>
    <w:multiLevelType w:val="hybridMultilevel"/>
    <w:tmpl w:val="BA40E070"/>
    <w:lvl w:ilvl="0" w:tplc="A8E6F90C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3C1C"/>
    <w:multiLevelType w:val="hybridMultilevel"/>
    <w:tmpl w:val="DEF0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4135"/>
    <w:multiLevelType w:val="hybridMultilevel"/>
    <w:tmpl w:val="8F48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682B"/>
    <w:multiLevelType w:val="hybridMultilevel"/>
    <w:tmpl w:val="2FC401A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BB3534C"/>
    <w:multiLevelType w:val="hybridMultilevel"/>
    <w:tmpl w:val="96A60DC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28F339F0"/>
    <w:multiLevelType w:val="hybridMultilevel"/>
    <w:tmpl w:val="F258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F11910"/>
    <w:multiLevelType w:val="hybridMultilevel"/>
    <w:tmpl w:val="77768C6A"/>
    <w:lvl w:ilvl="0" w:tplc="EB9669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F03E7E"/>
    <w:multiLevelType w:val="hybridMultilevel"/>
    <w:tmpl w:val="6346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70D63"/>
    <w:multiLevelType w:val="hybridMultilevel"/>
    <w:tmpl w:val="77D238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 w15:restartNumberingAfterBreak="0">
    <w:nsid w:val="333A7FDA"/>
    <w:multiLevelType w:val="hybridMultilevel"/>
    <w:tmpl w:val="F6B06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A0A36"/>
    <w:multiLevelType w:val="hybridMultilevel"/>
    <w:tmpl w:val="C5F8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377C5"/>
    <w:multiLevelType w:val="hybridMultilevel"/>
    <w:tmpl w:val="052A6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403FF6"/>
    <w:multiLevelType w:val="hybridMultilevel"/>
    <w:tmpl w:val="1B82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C62F0"/>
    <w:multiLevelType w:val="multilevel"/>
    <w:tmpl w:val="CA58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5F64F2"/>
    <w:multiLevelType w:val="hybridMultilevel"/>
    <w:tmpl w:val="C2C2487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 w15:restartNumberingAfterBreak="0">
    <w:nsid w:val="524322CE"/>
    <w:multiLevelType w:val="hybridMultilevel"/>
    <w:tmpl w:val="B1DAA2DE"/>
    <w:lvl w:ilvl="0" w:tplc="0409000D">
      <w:start w:val="1"/>
      <w:numFmt w:val="bullet"/>
      <w:lvlText w:val="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19" w15:restartNumberingAfterBreak="0">
    <w:nsid w:val="58CA73B6"/>
    <w:multiLevelType w:val="hybridMultilevel"/>
    <w:tmpl w:val="D212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62250"/>
    <w:multiLevelType w:val="hybridMultilevel"/>
    <w:tmpl w:val="432C5BC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5F823BE2"/>
    <w:multiLevelType w:val="hybridMultilevel"/>
    <w:tmpl w:val="37FC4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20E8C"/>
    <w:multiLevelType w:val="hybridMultilevel"/>
    <w:tmpl w:val="79D6A4F0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3" w15:restartNumberingAfterBreak="0">
    <w:nsid w:val="681C416E"/>
    <w:multiLevelType w:val="hybridMultilevel"/>
    <w:tmpl w:val="9EEAE9A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4" w15:restartNumberingAfterBreak="0">
    <w:nsid w:val="6CAF3582"/>
    <w:multiLevelType w:val="hybridMultilevel"/>
    <w:tmpl w:val="126887EC"/>
    <w:lvl w:ilvl="0" w:tplc="AD2CE198">
      <w:numFmt w:val="bullet"/>
      <w:lvlText w:val=""/>
      <w:lvlJc w:val="left"/>
      <w:pPr>
        <w:ind w:left="52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5" w15:restartNumberingAfterBreak="0">
    <w:nsid w:val="777224DA"/>
    <w:multiLevelType w:val="hybridMultilevel"/>
    <w:tmpl w:val="0D76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508FD"/>
    <w:multiLevelType w:val="hybridMultilevel"/>
    <w:tmpl w:val="BFC20CD6"/>
    <w:lvl w:ilvl="0" w:tplc="37787FE4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2F04D7"/>
    <w:multiLevelType w:val="hybridMultilevel"/>
    <w:tmpl w:val="65A8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2"/>
  </w:num>
  <w:num w:numId="8">
    <w:abstractNumId w:val="6"/>
  </w:num>
  <w:num w:numId="9">
    <w:abstractNumId w:val="25"/>
  </w:num>
  <w:num w:numId="10">
    <w:abstractNumId w:val="0"/>
  </w:num>
  <w:num w:numId="11">
    <w:abstractNumId w:val="15"/>
  </w:num>
  <w:num w:numId="12">
    <w:abstractNumId w:val="4"/>
  </w:num>
  <w:num w:numId="13">
    <w:abstractNumId w:val="11"/>
  </w:num>
  <w:num w:numId="14">
    <w:abstractNumId w:val="5"/>
  </w:num>
  <w:num w:numId="15">
    <w:abstractNumId w:val="27"/>
  </w:num>
  <w:num w:numId="16">
    <w:abstractNumId w:val="19"/>
  </w:num>
  <w:num w:numId="17">
    <w:abstractNumId w:val="1"/>
  </w:num>
  <w:num w:numId="18">
    <w:abstractNumId w:val="21"/>
  </w:num>
  <w:num w:numId="19">
    <w:abstractNumId w:val="17"/>
  </w:num>
  <w:num w:numId="20">
    <w:abstractNumId w:val="7"/>
  </w:num>
  <w:num w:numId="21">
    <w:abstractNumId w:val="14"/>
  </w:num>
  <w:num w:numId="22">
    <w:abstractNumId w:val="2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9"/>
  </w:num>
  <w:num w:numId="26">
    <w:abstractNumId w:val="10"/>
  </w:num>
  <w:num w:numId="27">
    <w:abstractNumId w:val="12"/>
  </w:num>
  <w:num w:numId="28">
    <w:abstractNumId w:val="13"/>
  </w:num>
  <w:num w:numId="29">
    <w:abstractNumId w:val="2"/>
  </w:num>
  <w:num w:numId="3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hideSpellingErrors/>
  <w:hideGrammaticalError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54"/>
    <w:rsid w:val="000009B2"/>
    <w:rsid w:val="000013D1"/>
    <w:rsid w:val="000026E4"/>
    <w:rsid w:val="000036F2"/>
    <w:rsid w:val="00004CD3"/>
    <w:rsid w:val="00004DB9"/>
    <w:rsid w:val="000061FB"/>
    <w:rsid w:val="0000784D"/>
    <w:rsid w:val="0001012E"/>
    <w:rsid w:val="00011627"/>
    <w:rsid w:val="00011924"/>
    <w:rsid w:val="000119A4"/>
    <w:rsid w:val="000121C0"/>
    <w:rsid w:val="00013C03"/>
    <w:rsid w:val="000154AE"/>
    <w:rsid w:val="00016EE3"/>
    <w:rsid w:val="0001760B"/>
    <w:rsid w:val="000227B5"/>
    <w:rsid w:val="00024A4F"/>
    <w:rsid w:val="00024E2C"/>
    <w:rsid w:val="00025A98"/>
    <w:rsid w:val="000275A9"/>
    <w:rsid w:val="00030E12"/>
    <w:rsid w:val="00031C2F"/>
    <w:rsid w:val="000325BD"/>
    <w:rsid w:val="00032A0A"/>
    <w:rsid w:val="00033078"/>
    <w:rsid w:val="000343C1"/>
    <w:rsid w:val="00034A69"/>
    <w:rsid w:val="00034ABB"/>
    <w:rsid w:val="00042413"/>
    <w:rsid w:val="00042CF3"/>
    <w:rsid w:val="00043092"/>
    <w:rsid w:val="00043C21"/>
    <w:rsid w:val="000443F8"/>
    <w:rsid w:val="00046661"/>
    <w:rsid w:val="00052392"/>
    <w:rsid w:val="00052B40"/>
    <w:rsid w:val="0005668B"/>
    <w:rsid w:val="000566D1"/>
    <w:rsid w:val="000575E6"/>
    <w:rsid w:val="0006038A"/>
    <w:rsid w:val="00061AE5"/>
    <w:rsid w:val="00062288"/>
    <w:rsid w:val="00066287"/>
    <w:rsid w:val="00066F92"/>
    <w:rsid w:val="00070655"/>
    <w:rsid w:val="000730E0"/>
    <w:rsid w:val="000736C4"/>
    <w:rsid w:val="00073D12"/>
    <w:rsid w:val="00074937"/>
    <w:rsid w:val="00075BBF"/>
    <w:rsid w:val="0007613B"/>
    <w:rsid w:val="00076F0B"/>
    <w:rsid w:val="00082D69"/>
    <w:rsid w:val="0008335C"/>
    <w:rsid w:val="000866A9"/>
    <w:rsid w:val="00086DA9"/>
    <w:rsid w:val="00086DEB"/>
    <w:rsid w:val="00086F3B"/>
    <w:rsid w:val="00087B54"/>
    <w:rsid w:val="00092CC3"/>
    <w:rsid w:val="00094305"/>
    <w:rsid w:val="000961E6"/>
    <w:rsid w:val="000A1B5C"/>
    <w:rsid w:val="000A425E"/>
    <w:rsid w:val="000A449C"/>
    <w:rsid w:val="000A5008"/>
    <w:rsid w:val="000A6596"/>
    <w:rsid w:val="000A7365"/>
    <w:rsid w:val="000A7A20"/>
    <w:rsid w:val="000B0723"/>
    <w:rsid w:val="000B0BE5"/>
    <w:rsid w:val="000B2FB6"/>
    <w:rsid w:val="000B399D"/>
    <w:rsid w:val="000B3A75"/>
    <w:rsid w:val="000B46F3"/>
    <w:rsid w:val="000B705E"/>
    <w:rsid w:val="000B7588"/>
    <w:rsid w:val="000C1CD3"/>
    <w:rsid w:val="000C2299"/>
    <w:rsid w:val="000C2640"/>
    <w:rsid w:val="000C44E0"/>
    <w:rsid w:val="000C571F"/>
    <w:rsid w:val="000C62B0"/>
    <w:rsid w:val="000C67E6"/>
    <w:rsid w:val="000C7D97"/>
    <w:rsid w:val="000D1733"/>
    <w:rsid w:val="000D2A08"/>
    <w:rsid w:val="000D2CE5"/>
    <w:rsid w:val="000D3410"/>
    <w:rsid w:val="000D3694"/>
    <w:rsid w:val="000D4600"/>
    <w:rsid w:val="000D666D"/>
    <w:rsid w:val="000E0414"/>
    <w:rsid w:val="000E1330"/>
    <w:rsid w:val="000E1869"/>
    <w:rsid w:val="000E2732"/>
    <w:rsid w:val="000E3103"/>
    <w:rsid w:val="000E3A25"/>
    <w:rsid w:val="000E3FFB"/>
    <w:rsid w:val="000E404F"/>
    <w:rsid w:val="000E537F"/>
    <w:rsid w:val="000E5838"/>
    <w:rsid w:val="000E7D70"/>
    <w:rsid w:val="000F0993"/>
    <w:rsid w:val="000F0E14"/>
    <w:rsid w:val="000F187B"/>
    <w:rsid w:val="000F22DC"/>
    <w:rsid w:val="000F3101"/>
    <w:rsid w:val="000F7EA6"/>
    <w:rsid w:val="00100D13"/>
    <w:rsid w:val="001010BF"/>
    <w:rsid w:val="00104DF4"/>
    <w:rsid w:val="00106DE8"/>
    <w:rsid w:val="00110009"/>
    <w:rsid w:val="00112EA6"/>
    <w:rsid w:val="00115C5B"/>
    <w:rsid w:val="00117B7F"/>
    <w:rsid w:val="00121380"/>
    <w:rsid w:val="0012199B"/>
    <w:rsid w:val="001219C0"/>
    <w:rsid w:val="00123E43"/>
    <w:rsid w:val="001250AB"/>
    <w:rsid w:val="001250BA"/>
    <w:rsid w:val="001306D7"/>
    <w:rsid w:val="00131DF6"/>
    <w:rsid w:val="00133F31"/>
    <w:rsid w:val="001351EE"/>
    <w:rsid w:val="00135F2B"/>
    <w:rsid w:val="00136A70"/>
    <w:rsid w:val="0013736C"/>
    <w:rsid w:val="00141072"/>
    <w:rsid w:val="00141255"/>
    <w:rsid w:val="001418A6"/>
    <w:rsid w:val="00141BFF"/>
    <w:rsid w:val="00143246"/>
    <w:rsid w:val="001470B2"/>
    <w:rsid w:val="00150108"/>
    <w:rsid w:val="001514CE"/>
    <w:rsid w:val="00151D7E"/>
    <w:rsid w:val="001522AD"/>
    <w:rsid w:val="001524A6"/>
    <w:rsid w:val="001532E5"/>
    <w:rsid w:val="00154F97"/>
    <w:rsid w:val="00156C2F"/>
    <w:rsid w:val="00156F49"/>
    <w:rsid w:val="0015793A"/>
    <w:rsid w:val="00162130"/>
    <w:rsid w:val="001655EB"/>
    <w:rsid w:val="0016577E"/>
    <w:rsid w:val="001661AD"/>
    <w:rsid w:val="00166AE2"/>
    <w:rsid w:val="00167683"/>
    <w:rsid w:val="00170319"/>
    <w:rsid w:val="00170449"/>
    <w:rsid w:val="001711AD"/>
    <w:rsid w:val="00171F48"/>
    <w:rsid w:val="00172018"/>
    <w:rsid w:val="00173D28"/>
    <w:rsid w:val="001742DE"/>
    <w:rsid w:val="001758B4"/>
    <w:rsid w:val="00177CAF"/>
    <w:rsid w:val="00177D26"/>
    <w:rsid w:val="0018004A"/>
    <w:rsid w:val="00180779"/>
    <w:rsid w:val="00180B5E"/>
    <w:rsid w:val="00183C39"/>
    <w:rsid w:val="00183EEE"/>
    <w:rsid w:val="0018670A"/>
    <w:rsid w:val="0018756F"/>
    <w:rsid w:val="00196700"/>
    <w:rsid w:val="00196BB8"/>
    <w:rsid w:val="0019734E"/>
    <w:rsid w:val="001976CC"/>
    <w:rsid w:val="001A35B8"/>
    <w:rsid w:val="001A3A6D"/>
    <w:rsid w:val="001B06CA"/>
    <w:rsid w:val="001B07C1"/>
    <w:rsid w:val="001B0F48"/>
    <w:rsid w:val="001B322E"/>
    <w:rsid w:val="001B3A21"/>
    <w:rsid w:val="001B5A65"/>
    <w:rsid w:val="001B5FF8"/>
    <w:rsid w:val="001C63B7"/>
    <w:rsid w:val="001D10CC"/>
    <w:rsid w:val="001D13F4"/>
    <w:rsid w:val="001D3036"/>
    <w:rsid w:val="001D4288"/>
    <w:rsid w:val="001D50E1"/>
    <w:rsid w:val="001D51E9"/>
    <w:rsid w:val="001D5D8F"/>
    <w:rsid w:val="001D7553"/>
    <w:rsid w:val="001E1CD9"/>
    <w:rsid w:val="001E2A7B"/>
    <w:rsid w:val="001E2B98"/>
    <w:rsid w:val="001E2CFE"/>
    <w:rsid w:val="001E44E3"/>
    <w:rsid w:val="001E5787"/>
    <w:rsid w:val="001E6E76"/>
    <w:rsid w:val="001F0A04"/>
    <w:rsid w:val="001F0A73"/>
    <w:rsid w:val="001F0EC9"/>
    <w:rsid w:val="001F12F1"/>
    <w:rsid w:val="001F166C"/>
    <w:rsid w:val="001F231B"/>
    <w:rsid w:val="001F367A"/>
    <w:rsid w:val="001F4FF1"/>
    <w:rsid w:val="001F572D"/>
    <w:rsid w:val="001F58EC"/>
    <w:rsid w:val="00200C55"/>
    <w:rsid w:val="00201D45"/>
    <w:rsid w:val="00201F3D"/>
    <w:rsid w:val="00203860"/>
    <w:rsid w:val="0020718C"/>
    <w:rsid w:val="002079DA"/>
    <w:rsid w:val="0021069C"/>
    <w:rsid w:val="002132E0"/>
    <w:rsid w:val="00213CD5"/>
    <w:rsid w:val="00214A28"/>
    <w:rsid w:val="002152B5"/>
    <w:rsid w:val="002154AC"/>
    <w:rsid w:val="00216B11"/>
    <w:rsid w:val="00216D6B"/>
    <w:rsid w:val="0022044F"/>
    <w:rsid w:val="00221021"/>
    <w:rsid w:val="002215EE"/>
    <w:rsid w:val="002225D4"/>
    <w:rsid w:val="0022353A"/>
    <w:rsid w:val="00223DC8"/>
    <w:rsid w:val="002240B3"/>
    <w:rsid w:val="002241CF"/>
    <w:rsid w:val="00224527"/>
    <w:rsid w:val="00225F9C"/>
    <w:rsid w:val="002276C7"/>
    <w:rsid w:val="00227A18"/>
    <w:rsid w:val="00230A49"/>
    <w:rsid w:val="002311E6"/>
    <w:rsid w:val="00231FC1"/>
    <w:rsid w:val="0023212C"/>
    <w:rsid w:val="002336B7"/>
    <w:rsid w:val="00233935"/>
    <w:rsid w:val="00234DDB"/>
    <w:rsid w:val="002408A6"/>
    <w:rsid w:val="0024126B"/>
    <w:rsid w:val="002412F8"/>
    <w:rsid w:val="0024180D"/>
    <w:rsid w:val="00241CC5"/>
    <w:rsid w:val="00244D87"/>
    <w:rsid w:val="00245357"/>
    <w:rsid w:val="00246ADD"/>
    <w:rsid w:val="002512D1"/>
    <w:rsid w:val="00251472"/>
    <w:rsid w:val="00251C45"/>
    <w:rsid w:val="00252C61"/>
    <w:rsid w:val="00253BB5"/>
    <w:rsid w:val="00254516"/>
    <w:rsid w:val="00255FBC"/>
    <w:rsid w:val="002616D8"/>
    <w:rsid w:val="002630B0"/>
    <w:rsid w:val="00265865"/>
    <w:rsid w:val="002677C1"/>
    <w:rsid w:val="00267C84"/>
    <w:rsid w:val="00270D38"/>
    <w:rsid w:val="0027216E"/>
    <w:rsid w:val="00272EDA"/>
    <w:rsid w:val="00273430"/>
    <w:rsid w:val="002745C9"/>
    <w:rsid w:val="00276909"/>
    <w:rsid w:val="002775F4"/>
    <w:rsid w:val="00280263"/>
    <w:rsid w:val="00280B76"/>
    <w:rsid w:val="00281761"/>
    <w:rsid w:val="00282F2D"/>
    <w:rsid w:val="00283556"/>
    <w:rsid w:val="00287D81"/>
    <w:rsid w:val="00290BF1"/>
    <w:rsid w:val="00293BAE"/>
    <w:rsid w:val="00297780"/>
    <w:rsid w:val="002A087D"/>
    <w:rsid w:val="002A0CC0"/>
    <w:rsid w:val="002A0F8D"/>
    <w:rsid w:val="002A1664"/>
    <w:rsid w:val="002A30BE"/>
    <w:rsid w:val="002A3EE7"/>
    <w:rsid w:val="002A436C"/>
    <w:rsid w:val="002A55E8"/>
    <w:rsid w:val="002A6633"/>
    <w:rsid w:val="002A67D2"/>
    <w:rsid w:val="002A6806"/>
    <w:rsid w:val="002A7134"/>
    <w:rsid w:val="002B24A6"/>
    <w:rsid w:val="002B2504"/>
    <w:rsid w:val="002B2DD4"/>
    <w:rsid w:val="002B6C0A"/>
    <w:rsid w:val="002B7AF8"/>
    <w:rsid w:val="002C0D88"/>
    <w:rsid w:val="002C1B54"/>
    <w:rsid w:val="002C2601"/>
    <w:rsid w:val="002C2E98"/>
    <w:rsid w:val="002C3A91"/>
    <w:rsid w:val="002D1662"/>
    <w:rsid w:val="002D2C04"/>
    <w:rsid w:val="002D2DAB"/>
    <w:rsid w:val="002D3A18"/>
    <w:rsid w:val="002D46F7"/>
    <w:rsid w:val="002D4902"/>
    <w:rsid w:val="002D5501"/>
    <w:rsid w:val="002D6045"/>
    <w:rsid w:val="002D742F"/>
    <w:rsid w:val="002E1208"/>
    <w:rsid w:val="002E5874"/>
    <w:rsid w:val="002F01F8"/>
    <w:rsid w:val="002F02B0"/>
    <w:rsid w:val="002F0E27"/>
    <w:rsid w:val="002F2757"/>
    <w:rsid w:val="002F6F61"/>
    <w:rsid w:val="00300217"/>
    <w:rsid w:val="00302013"/>
    <w:rsid w:val="00303AB2"/>
    <w:rsid w:val="00304474"/>
    <w:rsid w:val="0030540F"/>
    <w:rsid w:val="00305AE0"/>
    <w:rsid w:val="00305EC4"/>
    <w:rsid w:val="00311FC4"/>
    <w:rsid w:val="00313175"/>
    <w:rsid w:val="0031446D"/>
    <w:rsid w:val="003164E9"/>
    <w:rsid w:val="003167D0"/>
    <w:rsid w:val="00316A4D"/>
    <w:rsid w:val="003202A7"/>
    <w:rsid w:val="003208FE"/>
    <w:rsid w:val="0032216D"/>
    <w:rsid w:val="00322D3B"/>
    <w:rsid w:val="00322F97"/>
    <w:rsid w:val="00323E81"/>
    <w:rsid w:val="00324CFF"/>
    <w:rsid w:val="003306BE"/>
    <w:rsid w:val="0033082C"/>
    <w:rsid w:val="003340ED"/>
    <w:rsid w:val="00334F86"/>
    <w:rsid w:val="003362EF"/>
    <w:rsid w:val="00336C30"/>
    <w:rsid w:val="00341F6F"/>
    <w:rsid w:val="00342463"/>
    <w:rsid w:val="0034691C"/>
    <w:rsid w:val="00351AED"/>
    <w:rsid w:val="003530CA"/>
    <w:rsid w:val="0035312D"/>
    <w:rsid w:val="00353733"/>
    <w:rsid w:val="00353940"/>
    <w:rsid w:val="00354876"/>
    <w:rsid w:val="00357860"/>
    <w:rsid w:val="00363ABE"/>
    <w:rsid w:val="0036539D"/>
    <w:rsid w:val="003655B0"/>
    <w:rsid w:val="00365D95"/>
    <w:rsid w:val="00366919"/>
    <w:rsid w:val="00366A23"/>
    <w:rsid w:val="00367AD1"/>
    <w:rsid w:val="00367E20"/>
    <w:rsid w:val="00370336"/>
    <w:rsid w:val="0037142A"/>
    <w:rsid w:val="00372196"/>
    <w:rsid w:val="00373659"/>
    <w:rsid w:val="00375835"/>
    <w:rsid w:val="00380089"/>
    <w:rsid w:val="00383B20"/>
    <w:rsid w:val="003844FA"/>
    <w:rsid w:val="003849A1"/>
    <w:rsid w:val="00387430"/>
    <w:rsid w:val="003878BE"/>
    <w:rsid w:val="00390379"/>
    <w:rsid w:val="00393AD1"/>
    <w:rsid w:val="00394137"/>
    <w:rsid w:val="00394E9F"/>
    <w:rsid w:val="00395D77"/>
    <w:rsid w:val="003960F4"/>
    <w:rsid w:val="003975ED"/>
    <w:rsid w:val="003A1CF2"/>
    <w:rsid w:val="003A21D1"/>
    <w:rsid w:val="003A299C"/>
    <w:rsid w:val="003A3776"/>
    <w:rsid w:val="003A53F0"/>
    <w:rsid w:val="003A5AA1"/>
    <w:rsid w:val="003B0A0C"/>
    <w:rsid w:val="003B0D56"/>
    <w:rsid w:val="003B1967"/>
    <w:rsid w:val="003B34C8"/>
    <w:rsid w:val="003B75D4"/>
    <w:rsid w:val="003C08CA"/>
    <w:rsid w:val="003C170A"/>
    <w:rsid w:val="003C6837"/>
    <w:rsid w:val="003C6D11"/>
    <w:rsid w:val="003C6D56"/>
    <w:rsid w:val="003C7961"/>
    <w:rsid w:val="003C7D9B"/>
    <w:rsid w:val="003D0D1D"/>
    <w:rsid w:val="003D3F81"/>
    <w:rsid w:val="003D7282"/>
    <w:rsid w:val="003D740C"/>
    <w:rsid w:val="003E0603"/>
    <w:rsid w:val="003E08C8"/>
    <w:rsid w:val="003E2BA4"/>
    <w:rsid w:val="003E357D"/>
    <w:rsid w:val="003E3AD9"/>
    <w:rsid w:val="003E4762"/>
    <w:rsid w:val="003E5D10"/>
    <w:rsid w:val="003E607D"/>
    <w:rsid w:val="003E6836"/>
    <w:rsid w:val="003E6E65"/>
    <w:rsid w:val="003F2966"/>
    <w:rsid w:val="003F3609"/>
    <w:rsid w:val="003F3BF5"/>
    <w:rsid w:val="00407DEF"/>
    <w:rsid w:val="0041050B"/>
    <w:rsid w:val="004107DA"/>
    <w:rsid w:val="00410D89"/>
    <w:rsid w:val="00411B05"/>
    <w:rsid w:val="00412F27"/>
    <w:rsid w:val="004141C0"/>
    <w:rsid w:val="004145C7"/>
    <w:rsid w:val="0041522B"/>
    <w:rsid w:val="004154A2"/>
    <w:rsid w:val="004211E8"/>
    <w:rsid w:val="004218FF"/>
    <w:rsid w:val="00421C10"/>
    <w:rsid w:val="004242F6"/>
    <w:rsid w:val="004246A0"/>
    <w:rsid w:val="00425258"/>
    <w:rsid w:val="0042587F"/>
    <w:rsid w:val="00426172"/>
    <w:rsid w:val="00430294"/>
    <w:rsid w:val="004317A2"/>
    <w:rsid w:val="00432588"/>
    <w:rsid w:val="004329A2"/>
    <w:rsid w:val="00432EEF"/>
    <w:rsid w:val="004334F0"/>
    <w:rsid w:val="00435038"/>
    <w:rsid w:val="00436684"/>
    <w:rsid w:val="004409C1"/>
    <w:rsid w:val="00444845"/>
    <w:rsid w:val="00446BBA"/>
    <w:rsid w:val="00447811"/>
    <w:rsid w:val="004507EB"/>
    <w:rsid w:val="004510B6"/>
    <w:rsid w:val="00451F56"/>
    <w:rsid w:val="00451F9A"/>
    <w:rsid w:val="00452D65"/>
    <w:rsid w:val="004538A8"/>
    <w:rsid w:val="004540A1"/>
    <w:rsid w:val="00454635"/>
    <w:rsid w:val="00455D62"/>
    <w:rsid w:val="00455DC9"/>
    <w:rsid w:val="00456CD8"/>
    <w:rsid w:val="00456F7A"/>
    <w:rsid w:val="00457169"/>
    <w:rsid w:val="00461B7B"/>
    <w:rsid w:val="00462BD6"/>
    <w:rsid w:val="00463F34"/>
    <w:rsid w:val="0046402E"/>
    <w:rsid w:val="0046406B"/>
    <w:rsid w:val="00466FB2"/>
    <w:rsid w:val="0047065E"/>
    <w:rsid w:val="00470A8B"/>
    <w:rsid w:val="00470E99"/>
    <w:rsid w:val="00472253"/>
    <w:rsid w:val="00473DDB"/>
    <w:rsid w:val="0047613B"/>
    <w:rsid w:val="00480977"/>
    <w:rsid w:val="0048151B"/>
    <w:rsid w:val="00481C94"/>
    <w:rsid w:val="00483721"/>
    <w:rsid w:val="00487981"/>
    <w:rsid w:val="00490FDE"/>
    <w:rsid w:val="004917B8"/>
    <w:rsid w:val="00492FFC"/>
    <w:rsid w:val="00493E53"/>
    <w:rsid w:val="00496536"/>
    <w:rsid w:val="004A017B"/>
    <w:rsid w:val="004A1066"/>
    <w:rsid w:val="004A132F"/>
    <w:rsid w:val="004A1356"/>
    <w:rsid w:val="004A48B8"/>
    <w:rsid w:val="004A669F"/>
    <w:rsid w:val="004B3078"/>
    <w:rsid w:val="004B44C6"/>
    <w:rsid w:val="004B4ADC"/>
    <w:rsid w:val="004B4BAC"/>
    <w:rsid w:val="004B4F4D"/>
    <w:rsid w:val="004B582A"/>
    <w:rsid w:val="004C0BE5"/>
    <w:rsid w:val="004C2084"/>
    <w:rsid w:val="004C2EFD"/>
    <w:rsid w:val="004C5133"/>
    <w:rsid w:val="004C52E0"/>
    <w:rsid w:val="004C5C08"/>
    <w:rsid w:val="004C7604"/>
    <w:rsid w:val="004D0CDD"/>
    <w:rsid w:val="004D1D48"/>
    <w:rsid w:val="004D265E"/>
    <w:rsid w:val="004D29A5"/>
    <w:rsid w:val="004D35C8"/>
    <w:rsid w:val="004D3A26"/>
    <w:rsid w:val="004D5A92"/>
    <w:rsid w:val="004D612E"/>
    <w:rsid w:val="004D6951"/>
    <w:rsid w:val="004E2C96"/>
    <w:rsid w:val="004E4FEE"/>
    <w:rsid w:val="004E578A"/>
    <w:rsid w:val="004E5D33"/>
    <w:rsid w:val="004E5DF0"/>
    <w:rsid w:val="004E5E88"/>
    <w:rsid w:val="004E5FDF"/>
    <w:rsid w:val="004E65E5"/>
    <w:rsid w:val="004F0178"/>
    <w:rsid w:val="004F36B7"/>
    <w:rsid w:val="004F42C7"/>
    <w:rsid w:val="004F5F78"/>
    <w:rsid w:val="004F6C26"/>
    <w:rsid w:val="00500BF8"/>
    <w:rsid w:val="00500D2D"/>
    <w:rsid w:val="0050546B"/>
    <w:rsid w:val="00505570"/>
    <w:rsid w:val="005057F7"/>
    <w:rsid w:val="00506503"/>
    <w:rsid w:val="005071AB"/>
    <w:rsid w:val="0050784B"/>
    <w:rsid w:val="00512FE1"/>
    <w:rsid w:val="0051325D"/>
    <w:rsid w:val="005142FF"/>
    <w:rsid w:val="00514C84"/>
    <w:rsid w:val="00517AEE"/>
    <w:rsid w:val="005246B2"/>
    <w:rsid w:val="00524A2D"/>
    <w:rsid w:val="00525773"/>
    <w:rsid w:val="00526582"/>
    <w:rsid w:val="00526D89"/>
    <w:rsid w:val="00532965"/>
    <w:rsid w:val="00534AC1"/>
    <w:rsid w:val="00535941"/>
    <w:rsid w:val="005365BC"/>
    <w:rsid w:val="00536E2C"/>
    <w:rsid w:val="0054034D"/>
    <w:rsid w:val="005411B7"/>
    <w:rsid w:val="00543BEF"/>
    <w:rsid w:val="00544C63"/>
    <w:rsid w:val="0055365A"/>
    <w:rsid w:val="00554308"/>
    <w:rsid w:val="00554FB2"/>
    <w:rsid w:val="005563FD"/>
    <w:rsid w:val="005569F0"/>
    <w:rsid w:val="005648F0"/>
    <w:rsid w:val="0056548F"/>
    <w:rsid w:val="005654ED"/>
    <w:rsid w:val="00566BC7"/>
    <w:rsid w:val="00567546"/>
    <w:rsid w:val="0057271F"/>
    <w:rsid w:val="00572E8C"/>
    <w:rsid w:val="005732B9"/>
    <w:rsid w:val="00573CEC"/>
    <w:rsid w:val="0057409A"/>
    <w:rsid w:val="00575E04"/>
    <w:rsid w:val="00576165"/>
    <w:rsid w:val="005762DB"/>
    <w:rsid w:val="00577D17"/>
    <w:rsid w:val="00580D3C"/>
    <w:rsid w:val="00583A9F"/>
    <w:rsid w:val="00583B6D"/>
    <w:rsid w:val="00583C5C"/>
    <w:rsid w:val="00585C2E"/>
    <w:rsid w:val="0058609F"/>
    <w:rsid w:val="005926A0"/>
    <w:rsid w:val="00592926"/>
    <w:rsid w:val="005949A7"/>
    <w:rsid w:val="0059592A"/>
    <w:rsid w:val="0059785E"/>
    <w:rsid w:val="005A53B4"/>
    <w:rsid w:val="005A5737"/>
    <w:rsid w:val="005B03D8"/>
    <w:rsid w:val="005B1674"/>
    <w:rsid w:val="005B3763"/>
    <w:rsid w:val="005B3EBA"/>
    <w:rsid w:val="005B416D"/>
    <w:rsid w:val="005B44B9"/>
    <w:rsid w:val="005B451F"/>
    <w:rsid w:val="005B5D61"/>
    <w:rsid w:val="005B7235"/>
    <w:rsid w:val="005C06FB"/>
    <w:rsid w:val="005C0887"/>
    <w:rsid w:val="005C1DB6"/>
    <w:rsid w:val="005C2EFD"/>
    <w:rsid w:val="005C64CB"/>
    <w:rsid w:val="005C68B3"/>
    <w:rsid w:val="005C78BA"/>
    <w:rsid w:val="005C7BC0"/>
    <w:rsid w:val="005D0203"/>
    <w:rsid w:val="005D0493"/>
    <w:rsid w:val="005D0E9B"/>
    <w:rsid w:val="005D1E5C"/>
    <w:rsid w:val="005D3F7E"/>
    <w:rsid w:val="005D4BDD"/>
    <w:rsid w:val="005D4E42"/>
    <w:rsid w:val="005D52E9"/>
    <w:rsid w:val="005D557A"/>
    <w:rsid w:val="005D688B"/>
    <w:rsid w:val="005D7A0C"/>
    <w:rsid w:val="005E521F"/>
    <w:rsid w:val="005E615D"/>
    <w:rsid w:val="005E63F0"/>
    <w:rsid w:val="005E6D2B"/>
    <w:rsid w:val="005E78B4"/>
    <w:rsid w:val="005E7933"/>
    <w:rsid w:val="005F177B"/>
    <w:rsid w:val="005F3AC9"/>
    <w:rsid w:val="005F7750"/>
    <w:rsid w:val="00602FB5"/>
    <w:rsid w:val="006039B5"/>
    <w:rsid w:val="00603F09"/>
    <w:rsid w:val="00605033"/>
    <w:rsid w:val="00605F55"/>
    <w:rsid w:val="006060E3"/>
    <w:rsid w:val="00606AA5"/>
    <w:rsid w:val="006070FB"/>
    <w:rsid w:val="00607472"/>
    <w:rsid w:val="00607A94"/>
    <w:rsid w:val="00611825"/>
    <w:rsid w:val="00614F81"/>
    <w:rsid w:val="00621212"/>
    <w:rsid w:val="00622B95"/>
    <w:rsid w:val="0062309A"/>
    <w:rsid w:val="00623308"/>
    <w:rsid w:val="0062347A"/>
    <w:rsid w:val="00625931"/>
    <w:rsid w:val="00627406"/>
    <w:rsid w:val="00631006"/>
    <w:rsid w:val="00633F5D"/>
    <w:rsid w:val="00636EB9"/>
    <w:rsid w:val="00637322"/>
    <w:rsid w:val="0064011D"/>
    <w:rsid w:val="00640695"/>
    <w:rsid w:val="00640742"/>
    <w:rsid w:val="00641385"/>
    <w:rsid w:val="00641D8C"/>
    <w:rsid w:val="00642F2A"/>
    <w:rsid w:val="006439F4"/>
    <w:rsid w:val="006451C5"/>
    <w:rsid w:val="00646360"/>
    <w:rsid w:val="00651786"/>
    <w:rsid w:val="00652281"/>
    <w:rsid w:val="00652918"/>
    <w:rsid w:val="00652A36"/>
    <w:rsid w:val="00653D0C"/>
    <w:rsid w:val="00654AD9"/>
    <w:rsid w:val="0065526E"/>
    <w:rsid w:val="00657536"/>
    <w:rsid w:val="006579F0"/>
    <w:rsid w:val="0066008A"/>
    <w:rsid w:val="00660A32"/>
    <w:rsid w:val="00661057"/>
    <w:rsid w:val="00662DA4"/>
    <w:rsid w:val="00662DB8"/>
    <w:rsid w:val="00665620"/>
    <w:rsid w:val="00665828"/>
    <w:rsid w:val="00670C54"/>
    <w:rsid w:val="00670C9F"/>
    <w:rsid w:val="006713EF"/>
    <w:rsid w:val="0067212F"/>
    <w:rsid w:val="0068036A"/>
    <w:rsid w:val="006816EC"/>
    <w:rsid w:val="006846BD"/>
    <w:rsid w:val="00686203"/>
    <w:rsid w:val="00686F39"/>
    <w:rsid w:val="0068719F"/>
    <w:rsid w:val="00687472"/>
    <w:rsid w:val="00687DD7"/>
    <w:rsid w:val="00690E81"/>
    <w:rsid w:val="00691EC4"/>
    <w:rsid w:val="00693196"/>
    <w:rsid w:val="00694422"/>
    <w:rsid w:val="00695062"/>
    <w:rsid w:val="00695ACA"/>
    <w:rsid w:val="00696D54"/>
    <w:rsid w:val="00697D45"/>
    <w:rsid w:val="006A1C20"/>
    <w:rsid w:val="006A2485"/>
    <w:rsid w:val="006A2DB4"/>
    <w:rsid w:val="006A2F4C"/>
    <w:rsid w:val="006A7903"/>
    <w:rsid w:val="006A7DAB"/>
    <w:rsid w:val="006B03D9"/>
    <w:rsid w:val="006B09ED"/>
    <w:rsid w:val="006B12B0"/>
    <w:rsid w:val="006B43F3"/>
    <w:rsid w:val="006C01D1"/>
    <w:rsid w:val="006C0738"/>
    <w:rsid w:val="006C0F07"/>
    <w:rsid w:val="006C3C3F"/>
    <w:rsid w:val="006C3E9C"/>
    <w:rsid w:val="006C52CC"/>
    <w:rsid w:val="006C5D86"/>
    <w:rsid w:val="006C6FED"/>
    <w:rsid w:val="006D03EF"/>
    <w:rsid w:val="006D06EF"/>
    <w:rsid w:val="006D189B"/>
    <w:rsid w:val="006D21F6"/>
    <w:rsid w:val="006D5EB7"/>
    <w:rsid w:val="006D6354"/>
    <w:rsid w:val="006D72A2"/>
    <w:rsid w:val="006D7FB5"/>
    <w:rsid w:val="006E0CC5"/>
    <w:rsid w:val="006E2261"/>
    <w:rsid w:val="006E3051"/>
    <w:rsid w:val="006E31CE"/>
    <w:rsid w:val="006E39E2"/>
    <w:rsid w:val="006E4573"/>
    <w:rsid w:val="006E5E26"/>
    <w:rsid w:val="006E6056"/>
    <w:rsid w:val="006E607C"/>
    <w:rsid w:val="006F15C5"/>
    <w:rsid w:val="006F1E29"/>
    <w:rsid w:val="006F2520"/>
    <w:rsid w:val="006F28F1"/>
    <w:rsid w:val="006F2CD8"/>
    <w:rsid w:val="00702956"/>
    <w:rsid w:val="007059AE"/>
    <w:rsid w:val="0070639D"/>
    <w:rsid w:val="00706FBF"/>
    <w:rsid w:val="00707363"/>
    <w:rsid w:val="00707445"/>
    <w:rsid w:val="00707A70"/>
    <w:rsid w:val="00710C7B"/>
    <w:rsid w:val="00711332"/>
    <w:rsid w:val="00712686"/>
    <w:rsid w:val="00712A9A"/>
    <w:rsid w:val="0071546B"/>
    <w:rsid w:val="00715AF0"/>
    <w:rsid w:val="007169F7"/>
    <w:rsid w:val="00717561"/>
    <w:rsid w:val="00717BAD"/>
    <w:rsid w:val="00717C4F"/>
    <w:rsid w:val="0072052B"/>
    <w:rsid w:val="00724707"/>
    <w:rsid w:val="00724DD4"/>
    <w:rsid w:val="00727ECC"/>
    <w:rsid w:val="00727FE5"/>
    <w:rsid w:val="00730385"/>
    <w:rsid w:val="00730C32"/>
    <w:rsid w:val="007318F5"/>
    <w:rsid w:val="00731B7C"/>
    <w:rsid w:val="00734EA1"/>
    <w:rsid w:val="00735FB7"/>
    <w:rsid w:val="007362A9"/>
    <w:rsid w:val="00741CCB"/>
    <w:rsid w:val="00742F44"/>
    <w:rsid w:val="00744040"/>
    <w:rsid w:val="0074507F"/>
    <w:rsid w:val="00745CCB"/>
    <w:rsid w:val="00747234"/>
    <w:rsid w:val="00751578"/>
    <w:rsid w:val="007517D9"/>
    <w:rsid w:val="00751DFE"/>
    <w:rsid w:val="00752C5D"/>
    <w:rsid w:val="0075322A"/>
    <w:rsid w:val="007554A7"/>
    <w:rsid w:val="00755B85"/>
    <w:rsid w:val="00756802"/>
    <w:rsid w:val="007642DD"/>
    <w:rsid w:val="007643AE"/>
    <w:rsid w:val="00766EA7"/>
    <w:rsid w:val="0077085D"/>
    <w:rsid w:val="00772164"/>
    <w:rsid w:val="00775CE6"/>
    <w:rsid w:val="00780A2B"/>
    <w:rsid w:val="0078252D"/>
    <w:rsid w:val="00782A69"/>
    <w:rsid w:val="00783454"/>
    <w:rsid w:val="007853A4"/>
    <w:rsid w:val="00785536"/>
    <w:rsid w:val="0078679C"/>
    <w:rsid w:val="00794DB8"/>
    <w:rsid w:val="00794E64"/>
    <w:rsid w:val="00796B08"/>
    <w:rsid w:val="00796F35"/>
    <w:rsid w:val="007A0129"/>
    <w:rsid w:val="007A229D"/>
    <w:rsid w:val="007A2EC0"/>
    <w:rsid w:val="007A3641"/>
    <w:rsid w:val="007A3887"/>
    <w:rsid w:val="007A5716"/>
    <w:rsid w:val="007A5B4F"/>
    <w:rsid w:val="007A7707"/>
    <w:rsid w:val="007B4906"/>
    <w:rsid w:val="007B66D2"/>
    <w:rsid w:val="007B788E"/>
    <w:rsid w:val="007C1FE8"/>
    <w:rsid w:val="007C31E0"/>
    <w:rsid w:val="007C3B6B"/>
    <w:rsid w:val="007C3C23"/>
    <w:rsid w:val="007C4CAE"/>
    <w:rsid w:val="007C59FE"/>
    <w:rsid w:val="007C617C"/>
    <w:rsid w:val="007D1DA1"/>
    <w:rsid w:val="007D2928"/>
    <w:rsid w:val="007D3A96"/>
    <w:rsid w:val="007D3F15"/>
    <w:rsid w:val="007D4CFA"/>
    <w:rsid w:val="007D7651"/>
    <w:rsid w:val="007D7B42"/>
    <w:rsid w:val="007E035E"/>
    <w:rsid w:val="007E1309"/>
    <w:rsid w:val="007E135F"/>
    <w:rsid w:val="007E18E8"/>
    <w:rsid w:val="007E1939"/>
    <w:rsid w:val="007E3F95"/>
    <w:rsid w:val="007E4728"/>
    <w:rsid w:val="007F01E6"/>
    <w:rsid w:val="007F03A7"/>
    <w:rsid w:val="007F1161"/>
    <w:rsid w:val="007F18DE"/>
    <w:rsid w:val="007F391B"/>
    <w:rsid w:val="007F3BB3"/>
    <w:rsid w:val="007F4407"/>
    <w:rsid w:val="007F4BC9"/>
    <w:rsid w:val="008021E4"/>
    <w:rsid w:val="00803D3A"/>
    <w:rsid w:val="00806026"/>
    <w:rsid w:val="008065B7"/>
    <w:rsid w:val="00806D01"/>
    <w:rsid w:val="00810C80"/>
    <w:rsid w:val="00811D1B"/>
    <w:rsid w:val="008120D3"/>
    <w:rsid w:val="008160DF"/>
    <w:rsid w:val="00816153"/>
    <w:rsid w:val="008166F8"/>
    <w:rsid w:val="00816FA7"/>
    <w:rsid w:val="008171AE"/>
    <w:rsid w:val="00817D0C"/>
    <w:rsid w:val="008211F5"/>
    <w:rsid w:val="00821AC9"/>
    <w:rsid w:val="0082456A"/>
    <w:rsid w:val="008261C2"/>
    <w:rsid w:val="00826CA5"/>
    <w:rsid w:val="00827EAF"/>
    <w:rsid w:val="008311A0"/>
    <w:rsid w:val="0083216F"/>
    <w:rsid w:val="008346B9"/>
    <w:rsid w:val="00836328"/>
    <w:rsid w:val="00837097"/>
    <w:rsid w:val="0083745B"/>
    <w:rsid w:val="0084019A"/>
    <w:rsid w:val="00841120"/>
    <w:rsid w:val="00842809"/>
    <w:rsid w:val="008452B3"/>
    <w:rsid w:val="00845336"/>
    <w:rsid w:val="00850A28"/>
    <w:rsid w:val="00850A7F"/>
    <w:rsid w:val="008510FE"/>
    <w:rsid w:val="0085144A"/>
    <w:rsid w:val="00851CEF"/>
    <w:rsid w:val="00851D23"/>
    <w:rsid w:val="0085258E"/>
    <w:rsid w:val="00854EBD"/>
    <w:rsid w:val="008574E4"/>
    <w:rsid w:val="00860DEB"/>
    <w:rsid w:val="0086329F"/>
    <w:rsid w:val="00864037"/>
    <w:rsid w:val="00864155"/>
    <w:rsid w:val="00864631"/>
    <w:rsid w:val="0086488F"/>
    <w:rsid w:val="008777E1"/>
    <w:rsid w:val="0088292E"/>
    <w:rsid w:val="00887519"/>
    <w:rsid w:val="00890F2E"/>
    <w:rsid w:val="00891123"/>
    <w:rsid w:val="008913CF"/>
    <w:rsid w:val="008921FC"/>
    <w:rsid w:val="008927EB"/>
    <w:rsid w:val="00892D24"/>
    <w:rsid w:val="00894ABD"/>
    <w:rsid w:val="00895682"/>
    <w:rsid w:val="00895CC1"/>
    <w:rsid w:val="008A10CF"/>
    <w:rsid w:val="008A189F"/>
    <w:rsid w:val="008A2211"/>
    <w:rsid w:val="008A3F52"/>
    <w:rsid w:val="008A4211"/>
    <w:rsid w:val="008A4A69"/>
    <w:rsid w:val="008A4B56"/>
    <w:rsid w:val="008A6934"/>
    <w:rsid w:val="008B14BA"/>
    <w:rsid w:val="008B1524"/>
    <w:rsid w:val="008B27EA"/>
    <w:rsid w:val="008B468E"/>
    <w:rsid w:val="008B569E"/>
    <w:rsid w:val="008C1349"/>
    <w:rsid w:val="008C1448"/>
    <w:rsid w:val="008C245B"/>
    <w:rsid w:val="008C32F7"/>
    <w:rsid w:val="008C3502"/>
    <w:rsid w:val="008C54A8"/>
    <w:rsid w:val="008C5F72"/>
    <w:rsid w:val="008C63E5"/>
    <w:rsid w:val="008C6A44"/>
    <w:rsid w:val="008C75E2"/>
    <w:rsid w:val="008D07C3"/>
    <w:rsid w:val="008D1C74"/>
    <w:rsid w:val="008D3FAD"/>
    <w:rsid w:val="008D453F"/>
    <w:rsid w:val="008D57D8"/>
    <w:rsid w:val="008D671B"/>
    <w:rsid w:val="008D6743"/>
    <w:rsid w:val="008E134A"/>
    <w:rsid w:val="008E2626"/>
    <w:rsid w:val="008E32D6"/>
    <w:rsid w:val="008E50A9"/>
    <w:rsid w:val="008E6B42"/>
    <w:rsid w:val="008E6DC4"/>
    <w:rsid w:val="008E6FAF"/>
    <w:rsid w:val="008E746E"/>
    <w:rsid w:val="008F3AF2"/>
    <w:rsid w:val="008F3BD5"/>
    <w:rsid w:val="008F47C8"/>
    <w:rsid w:val="008F61B4"/>
    <w:rsid w:val="008F62A3"/>
    <w:rsid w:val="008F6825"/>
    <w:rsid w:val="00904DE5"/>
    <w:rsid w:val="009070D0"/>
    <w:rsid w:val="009076A0"/>
    <w:rsid w:val="00910F85"/>
    <w:rsid w:val="00913377"/>
    <w:rsid w:val="00913F7A"/>
    <w:rsid w:val="009163A8"/>
    <w:rsid w:val="00917165"/>
    <w:rsid w:val="00921F3F"/>
    <w:rsid w:val="00923D1B"/>
    <w:rsid w:val="0092578B"/>
    <w:rsid w:val="00925A57"/>
    <w:rsid w:val="00927986"/>
    <w:rsid w:val="00930511"/>
    <w:rsid w:val="0093103D"/>
    <w:rsid w:val="009310B9"/>
    <w:rsid w:val="00932B21"/>
    <w:rsid w:val="009333CC"/>
    <w:rsid w:val="0093529B"/>
    <w:rsid w:val="00937AD0"/>
    <w:rsid w:val="0094459B"/>
    <w:rsid w:val="00944743"/>
    <w:rsid w:val="0094746F"/>
    <w:rsid w:val="00947EBA"/>
    <w:rsid w:val="00951CD2"/>
    <w:rsid w:val="00951CDB"/>
    <w:rsid w:val="009546F4"/>
    <w:rsid w:val="009546F8"/>
    <w:rsid w:val="009557EB"/>
    <w:rsid w:val="00956CA4"/>
    <w:rsid w:val="00957C24"/>
    <w:rsid w:val="00960A83"/>
    <w:rsid w:val="00960F80"/>
    <w:rsid w:val="00962545"/>
    <w:rsid w:val="0096587C"/>
    <w:rsid w:val="00966222"/>
    <w:rsid w:val="0096763F"/>
    <w:rsid w:val="00970855"/>
    <w:rsid w:val="00970DC6"/>
    <w:rsid w:val="009718B3"/>
    <w:rsid w:val="0097222D"/>
    <w:rsid w:val="00972E1B"/>
    <w:rsid w:val="00973A4E"/>
    <w:rsid w:val="009751BC"/>
    <w:rsid w:val="0097549E"/>
    <w:rsid w:val="009778EC"/>
    <w:rsid w:val="00977D6F"/>
    <w:rsid w:val="00980C90"/>
    <w:rsid w:val="00984037"/>
    <w:rsid w:val="00984810"/>
    <w:rsid w:val="00984915"/>
    <w:rsid w:val="00984924"/>
    <w:rsid w:val="00985731"/>
    <w:rsid w:val="00985BCA"/>
    <w:rsid w:val="00985E4A"/>
    <w:rsid w:val="009868F2"/>
    <w:rsid w:val="009903E8"/>
    <w:rsid w:val="00995459"/>
    <w:rsid w:val="00996068"/>
    <w:rsid w:val="00996B81"/>
    <w:rsid w:val="009970AA"/>
    <w:rsid w:val="009975AF"/>
    <w:rsid w:val="009977C0"/>
    <w:rsid w:val="00997BC0"/>
    <w:rsid w:val="009A1FAB"/>
    <w:rsid w:val="009A31DA"/>
    <w:rsid w:val="009B0344"/>
    <w:rsid w:val="009B101D"/>
    <w:rsid w:val="009B5183"/>
    <w:rsid w:val="009B5C46"/>
    <w:rsid w:val="009B615D"/>
    <w:rsid w:val="009B7F8F"/>
    <w:rsid w:val="009C1191"/>
    <w:rsid w:val="009C26A2"/>
    <w:rsid w:val="009C2A98"/>
    <w:rsid w:val="009C511D"/>
    <w:rsid w:val="009C7006"/>
    <w:rsid w:val="009D2747"/>
    <w:rsid w:val="009D2A50"/>
    <w:rsid w:val="009D3C2C"/>
    <w:rsid w:val="009D3E0E"/>
    <w:rsid w:val="009D715D"/>
    <w:rsid w:val="009E1AEA"/>
    <w:rsid w:val="009E2C2B"/>
    <w:rsid w:val="009E2E63"/>
    <w:rsid w:val="009E39F8"/>
    <w:rsid w:val="009E3EAC"/>
    <w:rsid w:val="009E4785"/>
    <w:rsid w:val="009E4E88"/>
    <w:rsid w:val="009E52F9"/>
    <w:rsid w:val="009F20BC"/>
    <w:rsid w:val="009F75A0"/>
    <w:rsid w:val="00A02031"/>
    <w:rsid w:val="00A105A9"/>
    <w:rsid w:val="00A11762"/>
    <w:rsid w:val="00A1394A"/>
    <w:rsid w:val="00A15EBF"/>
    <w:rsid w:val="00A21A52"/>
    <w:rsid w:val="00A2291F"/>
    <w:rsid w:val="00A233AB"/>
    <w:rsid w:val="00A257D7"/>
    <w:rsid w:val="00A30329"/>
    <w:rsid w:val="00A30356"/>
    <w:rsid w:val="00A32093"/>
    <w:rsid w:val="00A32290"/>
    <w:rsid w:val="00A33984"/>
    <w:rsid w:val="00A36793"/>
    <w:rsid w:val="00A37032"/>
    <w:rsid w:val="00A37D19"/>
    <w:rsid w:val="00A40BC9"/>
    <w:rsid w:val="00A410D5"/>
    <w:rsid w:val="00A41784"/>
    <w:rsid w:val="00A41878"/>
    <w:rsid w:val="00A42362"/>
    <w:rsid w:val="00A42936"/>
    <w:rsid w:val="00A45FFF"/>
    <w:rsid w:val="00A46731"/>
    <w:rsid w:val="00A473AE"/>
    <w:rsid w:val="00A47C3E"/>
    <w:rsid w:val="00A5027B"/>
    <w:rsid w:val="00A503EC"/>
    <w:rsid w:val="00A50BAA"/>
    <w:rsid w:val="00A50E93"/>
    <w:rsid w:val="00A50F05"/>
    <w:rsid w:val="00A538E0"/>
    <w:rsid w:val="00A53AD6"/>
    <w:rsid w:val="00A54825"/>
    <w:rsid w:val="00A602B4"/>
    <w:rsid w:val="00A61C23"/>
    <w:rsid w:val="00A631FF"/>
    <w:rsid w:val="00A644DD"/>
    <w:rsid w:val="00A6682E"/>
    <w:rsid w:val="00A66AB7"/>
    <w:rsid w:val="00A71230"/>
    <w:rsid w:val="00A71DAA"/>
    <w:rsid w:val="00A72BB2"/>
    <w:rsid w:val="00A74694"/>
    <w:rsid w:val="00A75551"/>
    <w:rsid w:val="00A7558F"/>
    <w:rsid w:val="00A766E2"/>
    <w:rsid w:val="00A77F66"/>
    <w:rsid w:val="00A8140E"/>
    <w:rsid w:val="00A81B1C"/>
    <w:rsid w:val="00A82E05"/>
    <w:rsid w:val="00A834AC"/>
    <w:rsid w:val="00A86230"/>
    <w:rsid w:val="00A916C5"/>
    <w:rsid w:val="00A918DE"/>
    <w:rsid w:val="00A925FA"/>
    <w:rsid w:val="00A949F2"/>
    <w:rsid w:val="00A956C0"/>
    <w:rsid w:val="00A95853"/>
    <w:rsid w:val="00AA02B8"/>
    <w:rsid w:val="00AA1107"/>
    <w:rsid w:val="00AA2F50"/>
    <w:rsid w:val="00AA5271"/>
    <w:rsid w:val="00AA6E65"/>
    <w:rsid w:val="00AA7114"/>
    <w:rsid w:val="00AA744D"/>
    <w:rsid w:val="00AB1C7D"/>
    <w:rsid w:val="00AB1E3D"/>
    <w:rsid w:val="00AB3024"/>
    <w:rsid w:val="00AB30C5"/>
    <w:rsid w:val="00AB3D57"/>
    <w:rsid w:val="00AB3D83"/>
    <w:rsid w:val="00AB48DD"/>
    <w:rsid w:val="00AB5F0A"/>
    <w:rsid w:val="00AC1766"/>
    <w:rsid w:val="00AC190C"/>
    <w:rsid w:val="00AC2B37"/>
    <w:rsid w:val="00AC55EE"/>
    <w:rsid w:val="00AC5ABA"/>
    <w:rsid w:val="00AC75AC"/>
    <w:rsid w:val="00AC75B7"/>
    <w:rsid w:val="00AD1C88"/>
    <w:rsid w:val="00AD2D12"/>
    <w:rsid w:val="00AD57C5"/>
    <w:rsid w:val="00AD76F9"/>
    <w:rsid w:val="00AE430A"/>
    <w:rsid w:val="00AE69F4"/>
    <w:rsid w:val="00AF08CA"/>
    <w:rsid w:val="00AF0E45"/>
    <w:rsid w:val="00AF1BC9"/>
    <w:rsid w:val="00AF2545"/>
    <w:rsid w:val="00AF4B73"/>
    <w:rsid w:val="00AF580B"/>
    <w:rsid w:val="00B010B5"/>
    <w:rsid w:val="00B02B91"/>
    <w:rsid w:val="00B0492E"/>
    <w:rsid w:val="00B0640B"/>
    <w:rsid w:val="00B123F4"/>
    <w:rsid w:val="00B12FAE"/>
    <w:rsid w:val="00B142BE"/>
    <w:rsid w:val="00B14756"/>
    <w:rsid w:val="00B1568E"/>
    <w:rsid w:val="00B16382"/>
    <w:rsid w:val="00B17A18"/>
    <w:rsid w:val="00B23D71"/>
    <w:rsid w:val="00B258F0"/>
    <w:rsid w:val="00B27D4C"/>
    <w:rsid w:val="00B30BF1"/>
    <w:rsid w:val="00B30F94"/>
    <w:rsid w:val="00B3121A"/>
    <w:rsid w:val="00B31359"/>
    <w:rsid w:val="00B342C3"/>
    <w:rsid w:val="00B34E8B"/>
    <w:rsid w:val="00B355C9"/>
    <w:rsid w:val="00B367AC"/>
    <w:rsid w:val="00B377EA"/>
    <w:rsid w:val="00B37DA8"/>
    <w:rsid w:val="00B40A42"/>
    <w:rsid w:val="00B40EBE"/>
    <w:rsid w:val="00B4179C"/>
    <w:rsid w:val="00B41B58"/>
    <w:rsid w:val="00B429F3"/>
    <w:rsid w:val="00B43051"/>
    <w:rsid w:val="00B441DE"/>
    <w:rsid w:val="00B44EEF"/>
    <w:rsid w:val="00B45D4C"/>
    <w:rsid w:val="00B45D7B"/>
    <w:rsid w:val="00B4661A"/>
    <w:rsid w:val="00B50366"/>
    <w:rsid w:val="00B53102"/>
    <w:rsid w:val="00B57FD1"/>
    <w:rsid w:val="00B616B0"/>
    <w:rsid w:val="00B62551"/>
    <w:rsid w:val="00B6314A"/>
    <w:rsid w:val="00B67F50"/>
    <w:rsid w:val="00B71E6F"/>
    <w:rsid w:val="00B71FF4"/>
    <w:rsid w:val="00B7244F"/>
    <w:rsid w:val="00B73FF0"/>
    <w:rsid w:val="00B74AA4"/>
    <w:rsid w:val="00B752FA"/>
    <w:rsid w:val="00B75454"/>
    <w:rsid w:val="00B82E5A"/>
    <w:rsid w:val="00B83B7A"/>
    <w:rsid w:val="00B84335"/>
    <w:rsid w:val="00B85C31"/>
    <w:rsid w:val="00B86004"/>
    <w:rsid w:val="00B86057"/>
    <w:rsid w:val="00B86DA8"/>
    <w:rsid w:val="00B870A3"/>
    <w:rsid w:val="00B91870"/>
    <w:rsid w:val="00BA1C81"/>
    <w:rsid w:val="00BA1CB1"/>
    <w:rsid w:val="00BA2CE4"/>
    <w:rsid w:val="00BA32B3"/>
    <w:rsid w:val="00BA3467"/>
    <w:rsid w:val="00BA5354"/>
    <w:rsid w:val="00BB01B2"/>
    <w:rsid w:val="00BB01B8"/>
    <w:rsid w:val="00BB0E21"/>
    <w:rsid w:val="00BB1265"/>
    <w:rsid w:val="00BB12D1"/>
    <w:rsid w:val="00BB1EF0"/>
    <w:rsid w:val="00BB22D9"/>
    <w:rsid w:val="00BB2F31"/>
    <w:rsid w:val="00BB318B"/>
    <w:rsid w:val="00BB33AD"/>
    <w:rsid w:val="00BB45BE"/>
    <w:rsid w:val="00BB4927"/>
    <w:rsid w:val="00BB52D3"/>
    <w:rsid w:val="00BB6690"/>
    <w:rsid w:val="00BC116A"/>
    <w:rsid w:val="00BC1950"/>
    <w:rsid w:val="00BC268E"/>
    <w:rsid w:val="00BC2EB3"/>
    <w:rsid w:val="00BC3BBA"/>
    <w:rsid w:val="00BC4332"/>
    <w:rsid w:val="00BC525C"/>
    <w:rsid w:val="00BC5B94"/>
    <w:rsid w:val="00BC5E8D"/>
    <w:rsid w:val="00BC6CA0"/>
    <w:rsid w:val="00BD08F4"/>
    <w:rsid w:val="00BD09FB"/>
    <w:rsid w:val="00BD1105"/>
    <w:rsid w:val="00BD2759"/>
    <w:rsid w:val="00BD30F0"/>
    <w:rsid w:val="00BE032C"/>
    <w:rsid w:val="00BE11DE"/>
    <w:rsid w:val="00BE141E"/>
    <w:rsid w:val="00BE4539"/>
    <w:rsid w:val="00BE658C"/>
    <w:rsid w:val="00BE70FF"/>
    <w:rsid w:val="00BE71F2"/>
    <w:rsid w:val="00BE7A31"/>
    <w:rsid w:val="00BF0965"/>
    <w:rsid w:val="00BF1808"/>
    <w:rsid w:val="00BF1880"/>
    <w:rsid w:val="00BF20F6"/>
    <w:rsid w:val="00BF3CF9"/>
    <w:rsid w:val="00BF5361"/>
    <w:rsid w:val="00BF5C9E"/>
    <w:rsid w:val="00BF6376"/>
    <w:rsid w:val="00BF764F"/>
    <w:rsid w:val="00C00364"/>
    <w:rsid w:val="00C01D2F"/>
    <w:rsid w:val="00C02540"/>
    <w:rsid w:val="00C028F1"/>
    <w:rsid w:val="00C03B87"/>
    <w:rsid w:val="00C04138"/>
    <w:rsid w:val="00C051EB"/>
    <w:rsid w:val="00C0640D"/>
    <w:rsid w:val="00C06F28"/>
    <w:rsid w:val="00C07651"/>
    <w:rsid w:val="00C12875"/>
    <w:rsid w:val="00C1351C"/>
    <w:rsid w:val="00C14F61"/>
    <w:rsid w:val="00C2259D"/>
    <w:rsid w:val="00C2287E"/>
    <w:rsid w:val="00C2310D"/>
    <w:rsid w:val="00C23CEC"/>
    <w:rsid w:val="00C23F8C"/>
    <w:rsid w:val="00C258DB"/>
    <w:rsid w:val="00C27A04"/>
    <w:rsid w:val="00C33533"/>
    <w:rsid w:val="00C40D3D"/>
    <w:rsid w:val="00C41849"/>
    <w:rsid w:val="00C41C17"/>
    <w:rsid w:val="00C436A5"/>
    <w:rsid w:val="00C45A2A"/>
    <w:rsid w:val="00C45B53"/>
    <w:rsid w:val="00C50369"/>
    <w:rsid w:val="00C51397"/>
    <w:rsid w:val="00C52C43"/>
    <w:rsid w:val="00C53D31"/>
    <w:rsid w:val="00C55C73"/>
    <w:rsid w:val="00C5641D"/>
    <w:rsid w:val="00C578D1"/>
    <w:rsid w:val="00C62E96"/>
    <w:rsid w:val="00C6354C"/>
    <w:rsid w:val="00C6550B"/>
    <w:rsid w:val="00C65FDE"/>
    <w:rsid w:val="00C67060"/>
    <w:rsid w:val="00C67FC1"/>
    <w:rsid w:val="00C7056F"/>
    <w:rsid w:val="00C70B9F"/>
    <w:rsid w:val="00C70DD0"/>
    <w:rsid w:val="00C71274"/>
    <w:rsid w:val="00C818AF"/>
    <w:rsid w:val="00C82A46"/>
    <w:rsid w:val="00C82C4C"/>
    <w:rsid w:val="00C835D6"/>
    <w:rsid w:val="00C84345"/>
    <w:rsid w:val="00C846A1"/>
    <w:rsid w:val="00C912BE"/>
    <w:rsid w:val="00C9136D"/>
    <w:rsid w:val="00C94838"/>
    <w:rsid w:val="00C9634C"/>
    <w:rsid w:val="00C97F08"/>
    <w:rsid w:val="00CA152E"/>
    <w:rsid w:val="00CA3B05"/>
    <w:rsid w:val="00CA5711"/>
    <w:rsid w:val="00CA7469"/>
    <w:rsid w:val="00CB00E9"/>
    <w:rsid w:val="00CB05AA"/>
    <w:rsid w:val="00CB4D8E"/>
    <w:rsid w:val="00CB547E"/>
    <w:rsid w:val="00CC0088"/>
    <w:rsid w:val="00CC01FD"/>
    <w:rsid w:val="00CC25D5"/>
    <w:rsid w:val="00CD2B63"/>
    <w:rsid w:val="00CD517B"/>
    <w:rsid w:val="00CE0296"/>
    <w:rsid w:val="00CE2915"/>
    <w:rsid w:val="00CE408F"/>
    <w:rsid w:val="00CE4F24"/>
    <w:rsid w:val="00CE4F60"/>
    <w:rsid w:val="00CE61F2"/>
    <w:rsid w:val="00CF0C6F"/>
    <w:rsid w:val="00CF0FC6"/>
    <w:rsid w:val="00CF2177"/>
    <w:rsid w:val="00CF65BD"/>
    <w:rsid w:val="00CF6740"/>
    <w:rsid w:val="00CF753A"/>
    <w:rsid w:val="00CF7C20"/>
    <w:rsid w:val="00D019DA"/>
    <w:rsid w:val="00D02A69"/>
    <w:rsid w:val="00D02C5C"/>
    <w:rsid w:val="00D05159"/>
    <w:rsid w:val="00D0787D"/>
    <w:rsid w:val="00D07E00"/>
    <w:rsid w:val="00D11776"/>
    <w:rsid w:val="00D12213"/>
    <w:rsid w:val="00D14E1B"/>
    <w:rsid w:val="00D16DD9"/>
    <w:rsid w:val="00D219E3"/>
    <w:rsid w:val="00D23198"/>
    <w:rsid w:val="00D23CF1"/>
    <w:rsid w:val="00D23E54"/>
    <w:rsid w:val="00D24968"/>
    <w:rsid w:val="00D27651"/>
    <w:rsid w:val="00D27A2D"/>
    <w:rsid w:val="00D309F5"/>
    <w:rsid w:val="00D3105B"/>
    <w:rsid w:val="00D322E1"/>
    <w:rsid w:val="00D34E0B"/>
    <w:rsid w:val="00D3569F"/>
    <w:rsid w:val="00D359C2"/>
    <w:rsid w:val="00D35C6B"/>
    <w:rsid w:val="00D3608B"/>
    <w:rsid w:val="00D36B39"/>
    <w:rsid w:val="00D41572"/>
    <w:rsid w:val="00D444E8"/>
    <w:rsid w:val="00D44B62"/>
    <w:rsid w:val="00D44E98"/>
    <w:rsid w:val="00D45AC8"/>
    <w:rsid w:val="00D467F1"/>
    <w:rsid w:val="00D4682B"/>
    <w:rsid w:val="00D46C87"/>
    <w:rsid w:val="00D55350"/>
    <w:rsid w:val="00D55B54"/>
    <w:rsid w:val="00D57A92"/>
    <w:rsid w:val="00D57E52"/>
    <w:rsid w:val="00D6193B"/>
    <w:rsid w:val="00D638F8"/>
    <w:rsid w:val="00D65969"/>
    <w:rsid w:val="00D66BDE"/>
    <w:rsid w:val="00D67163"/>
    <w:rsid w:val="00D7003C"/>
    <w:rsid w:val="00D74632"/>
    <w:rsid w:val="00D75285"/>
    <w:rsid w:val="00D75555"/>
    <w:rsid w:val="00D75776"/>
    <w:rsid w:val="00D75CB7"/>
    <w:rsid w:val="00D7602A"/>
    <w:rsid w:val="00D76524"/>
    <w:rsid w:val="00D76A67"/>
    <w:rsid w:val="00D7763D"/>
    <w:rsid w:val="00D77F65"/>
    <w:rsid w:val="00D81380"/>
    <w:rsid w:val="00D84381"/>
    <w:rsid w:val="00D844E3"/>
    <w:rsid w:val="00D907FA"/>
    <w:rsid w:val="00D9263F"/>
    <w:rsid w:val="00D92812"/>
    <w:rsid w:val="00D92AAE"/>
    <w:rsid w:val="00D9369E"/>
    <w:rsid w:val="00D94EC5"/>
    <w:rsid w:val="00D96542"/>
    <w:rsid w:val="00D96D56"/>
    <w:rsid w:val="00D9705A"/>
    <w:rsid w:val="00D97E10"/>
    <w:rsid w:val="00DA250B"/>
    <w:rsid w:val="00DA40E2"/>
    <w:rsid w:val="00DA5716"/>
    <w:rsid w:val="00DA57FB"/>
    <w:rsid w:val="00DA7C9E"/>
    <w:rsid w:val="00DB1E80"/>
    <w:rsid w:val="00DB343C"/>
    <w:rsid w:val="00DB3BCF"/>
    <w:rsid w:val="00DB42E2"/>
    <w:rsid w:val="00DB66E3"/>
    <w:rsid w:val="00DB7CC5"/>
    <w:rsid w:val="00DC107D"/>
    <w:rsid w:val="00DC1104"/>
    <w:rsid w:val="00DC3485"/>
    <w:rsid w:val="00DC3732"/>
    <w:rsid w:val="00DC380A"/>
    <w:rsid w:val="00DC74EF"/>
    <w:rsid w:val="00DD049D"/>
    <w:rsid w:val="00DD1E6B"/>
    <w:rsid w:val="00DD2B3C"/>
    <w:rsid w:val="00DD3C63"/>
    <w:rsid w:val="00DD5BB1"/>
    <w:rsid w:val="00DD738B"/>
    <w:rsid w:val="00DD7EA7"/>
    <w:rsid w:val="00DE6F9C"/>
    <w:rsid w:val="00DE7318"/>
    <w:rsid w:val="00DF0B02"/>
    <w:rsid w:val="00DF4C23"/>
    <w:rsid w:val="00DF4F4C"/>
    <w:rsid w:val="00DF6054"/>
    <w:rsid w:val="00DF70AF"/>
    <w:rsid w:val="00E01FE9"/>
    <w:rsid w:val="00E03543"/>
    <w:rsid w:val="00E03D1D"/>
    <w:rsid w:val="00E0628F"/>
    <w:rsid w:val="00E10F68"/>
    <w:rsid w:val="00E12915"/>
    <w:rsid w:val="00E1485E"/>
    <w:rsid w:val="00E20A38"/>
    <w:rsid w:val="00E21BC9"/>
    <w:rsid w:val="00E21BE8"/>
    <w:rsid w:val="00E23E2B"/>
    <w:rsid w:val="00E247CD"/>
    <w:rsid w:val="00E25B2C"/>
    <w:rsid w:val="00E2698B"/>
    <w:rsid w:val="00E27E9B"/>
    <w:rsid w:val="00E3044C"/>
    <w:rsid w:val="00E33A22"/>
    <w:rsid w:val="00E34CE2"/>
    <w:rsid w:val="00E35201"/>
    <w:rsid w:val="00E3574D"/>
    <w:rsid w:val="00E402A2"/>
    <w:rsid w:val="00E40B2D"/>
    <w:rsid w:val="00E421BF"/>
    <w:rsid w:val="00E4265A"/>
    <w:rsid w:val="00E45900"/>
    <w:rsid w:val="00E45FEF"/>
    <w:rsid w:val="00E47E0E"/>
    <w:rsid w:val="00E50392"/>
    <w:rsid w:val="00E52BB4"/>
    <w:rsid w:val="00E52C4B"/>
    <w:rsid w:val="00E54261"/>
    <w:rsid w:val="00E54849"/>
    <w:rsid w:val="00E5522E"/>
    <w:rsid w:val="00E5578D"/>
    <w:rsid w:val="00E56C2B"/>
    <w:rsid w:val="00E56FF6"/>
    <w:rsid w:val="00E57208"/>
    <w:rsid w:val="00E60425"/>
    <w:rsid w:val="00E605D2"/>
    <w:rsid w:val="00E614E7"/>
    <w:rsid w:val="00E61AE4"/>
    <w:rsid w:val="00E6267E"/>
    <w:rsid w:val="00E638C9"/>
    <w:rsid w:val="00E644B1"/>
    <w:rsid w:val="00E67B23"/>
    <w:rsid w:val="00E704E4"/>
    <w:rsid w:val="00E71020"/>
    <w:rsid w:val="00E71A1F"/>
    <w:rsid w:val="00E71BD8"/>
    <w:rsid w:val="00E7215F"/>
    <w:rsid w:val="00E73A86"/>
    <w:rsid w:val="00E73EF1"/>
    <w:rsid w:val="00E74AF7"/>
    <w:rsid w:val="00E776C2"/>
    <w:rsid w:val="00E805DB"/>
    <w:rsid w:val="00E808CA"/>
    <w:rsid w:val="00E811A5"/>
    <w:rsid w:val="00E81A76"/>
    <w:rsid w:val="00E867CC"/>
    <w:rsid w:val="00E87CEB"/>
    <w:rsid w:val="00E95A13"/>
    <w:rsid w:val="00E9651C"/>
    <w:rsid w:val="00E96C9A"/>
    <w:rsid w:val="00E97468"/>
    <w:rsid w:val="00EA1231"/>
    <w:rsid w:val="00EA36E7"/>
    <w:rsid w:val="00EA3BD2"/>
    <w:rsid w:val="00EA6919"/>
    <w:rsid w:val="00EB02B0"/>
    <w:rsid w:val="00EB0BE7"/>
    <w:rsid w:val="00EB11F4"/>
    <w:rsid w:val="00EB1D8C"/>
    <w:rsid w:val="00EB2575"/>
    <w:rsid w:val="00EB26E9"/>
    <w:rsid w:val="00EB3882"/>
    <w:rsid w:val="00EB46C9"/>
    <w:rsid w:val="00EB4C93"/>
    <w:rsid w:val="00EB5B77"/>
    <w:rsid w:val="00EB6D63"/>
    <w:rsid w:val="00EB73D4"/>
    <w:rsid w:val="00EC110D"/>
    <w:rsid w:val="00EC33CF"/>
    <w:rsid w:val="00EC4DE3"/>
    <w:rsid w:val="00EC5B64"/>
    <w:rsid w:val="00EC6D32"/>
    <w:rsid w:val="00ED0250"/>
    <w:rsid w:val="00ED046B"/>
    <w:rsid w:val="00ED0B4A"/>
    <w:rsid w:val="00ED2059"/>
    <w:rsid w:val="00ED2487"/>
    <w:rsid w:val="00ED369F"/>
    <w:rsid w:val="00ED39A1"/>
    <w:rsid w:val="00ED41B6"/>
    <w:rsid w:val="00ED4E02"/>
    <w:rsid w:val="00ED59DD"/>
    <w:rsid w:val="00ED7056"/>
    <w:rsid w:val="00ED7423"/>
    <w:rsid w:val="00ED7461"/>
    <w:rsid w:val="00EE0269"/>
    <w:rsid w:val="00EE0E75"/>
    <w:rsid w:val="00EE367A"/>
    <w:rsid w:val="00EE370B"/>
    <w:rsid w:val="00EE47B8"/>
    <w:rsid w:val="00EE7D01"/>
    <w:rsid w:val="00EF05CB"/>
    <w:rsid w:val="00EF1AA9"/>
    <w:rsid w:val="00EF1C11"/>
    <w:rsid w:val="00EF3D12"/>
    <w:rsid w:val="00EF63BE"/>
    <w:rsid w:val="00F0117E"/>
    <w:rsid w:val="00F01735"/>
    <w:rsid w:val="00F02356"/>
    <w:rsid w:val="00F03BC3"/>
    <w:rsid w:val="00F041C6"/>
    <w:rsid w:val="00F0440D"/>
    <w:rsid w:val="00F106EF"/>
    <w:rsid w:val="00F11B0B"/>
    <w:rsid w:val="00F129F3"/>
    <w:rsid w:val="00F13578"/>
    <w:rsid w:val="00F159B1"/>
    <w:rsid w:val="00F21D98"/>
    <w:rsid w:val="00F24297"/>
    <w:rsid w:val="00F2484D"/>
    <w:rsid w:val="00F24C21"/>
    <w:rsid w:val="00F2571A"/>
    <w:rsid w:val="00F30578"/>
    <w:rsid w:val="00F3146D"/>
    <w:rsid w:val="00F329A5"/>
    <w:rsid w:val="00F33DCC"/>
    <w:rsid w:val="00F35DD0"/>
    <w:rsid w:val="00F36677"/>
    <w:rsid w:val="00F368A4"/>
    <w:rsid w:val="00F40897"/>
    <w:rsid w:val="00F40A77"/>
    <w:rsid w:val="00F41B1A"/>
    <w:rsid w:val="00F4306A"/>
    <w:rsid w:val="00F431BD"/>
    <w:rsid w:val="00F4686A"/>
    <w:rsid w:val="00F46B4C"/>
    <w:rsid w:val="00F47065"/>
    <w:rsid w:val="00F475F2"/>
    <w:rsid w:val="00F50843"/>
    <w:rsid w:val="00F50EA1"/>
    <w:rsid w:val="00F51065"/>
    <w:rsid w:val="00F54254"/>
    <w:rsid w:val="00F5474D"/>
    <w:rsid w:val="00F54F77"/>
    <w:rsid w:val="00F55BCA"/>
    <w:rsid w:val="00F56C23"/>
    <w:rsid w:val="00F56CFC"/>
    <w:rsid w:val="00F57D52"/>
    <w:rsid w:val="00F60457"/>
    <w:rsid w:val="00F6120A"/>
    <w:rsid w:val="00F61BBA"/>
    <w:rsid w:val="00F61E29"/>
    <w:rsid w:val="00F644A8"/>
    <w:rsid w:val="00F64E79"/>
    <w:rsid w:val="00F6529B"/>
    <w:rsid w:val="00F66019"/>
    <w:rsid w:val="00F67EAE"/>
    <w:rsid w:val="00F7186E"/>
    <w:rsid w:val="00F730A6"/>
    <w:rsid w:val="00F74BE8"/>
    <w:rsid w:val="00F75438"/>
    <w:rsid w:val="00F77329"/>
    <w:rsid w:val="00F77C44"/>
    <w:rsid w:val="00F80F63"/>
    <w:rsid w:val="00F81641"/>
    <w:rsid w:val="00F81B15"/>
    <w:rsid w:val="00F83943"/>
    <w:rsid w:val="00F83EA3"/>
    <w:rsid w:val="00F83EA8"/>
    <w:rsid w:val="00F83F74"/>
    <w:rsid w:val="00F87F1C"/>
    <w:rsid w:val="00F90D6C"/>
    <w:rsid w:val="00F91B73"/>
    <w:rsid w:val="00F91EE3"/>
    <w:rsid w:val="00F91FAF"/>
    <w:rsid w:val="00F93513"/>
    <w:rsid w:val="00F940C9"/>
    <w:rsid w:val="00F955D0"/>
    <w:rsid w:val="00F95C19"/>
    <w:rsid w:val="00F96036"/>
    <w:rsid w:val="00FA0C26"/>
    <w:rsid w:val="00FA1754"/>
    <w:rsid w:val="00FA26BB"/>
    <w:rsid w:val="00FA3312"/>
    <w:rsid w:val="00FA42DA"/>
    <w:rsid w:val="00FA5B92"/>
    <w:rsid w:val="00FA6629"/>
    <w:rsid w:val="00FA68D4"/>
    <w:rsid w:val="00FA68FE"/>
    <w:rsid w:val="00FB3B1F"/>
    <w:rsid w:val="00FB3C5A"/>
    <w:rsid w:val="00FB3D46"/>
    <w:rsid w:val="00FB3F57"/>
    <w:rsid w:val="00FB497C"/>
    <w:rsid w:val="00FB560F"/>
    <w:rsid w:val="00FB64BF"/>
    <w:rsid w:val="00FC3BFC"/>
    <w:rsid w:val="00FC4B2E"/>
    <w:rsid w:val="00FC705A"/>
    <w:rsid w:val="00FD0CE9"/>
    <w:rsid w:val="00FD2A4A"/>
    <w:rsid w:val="00FD2DCF"/>
    <w:rsid w:val="00FD3035"/>
    <w:rsid w:val="00FD38FA"/>
    <w:rsid w:val="00FD5B58"/>
    <w:rsid w:val="00FD78DF"/>
    <w:rsid w:val="00FE2D18"/>
    <w:rsid w:val="00FE48CB"/>
    <w:rsid w:val="00FE4F27"/>
    <w:rsid w:val="00FE5851"/>
    <w:rsid w:val="00FE61F1"/>
    <w:rsid w:val="00FF151D"/>
    <w:rsid w:val="00FF2C80"/>
    <w:rsid w:val="00FF3642"/>
    <w:rsid w:val="00FF4C98"/>
    <w:rsid w:val="00FF679F"/>
    <w:rsid w:val="00FF75F1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,"/>
  <w14:docId w14:val="10E885F6"/>
  <w15:docId w15:val="{D6EB6615-294D-4279-B201-4DD71FCD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C9E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DA7C9E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DA7C9E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DA7C9E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31B7C"/>
    <w:pPr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DA7C9E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DA7C9E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7C9E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7C9E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7C9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C9E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DA7C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DA7C9E"/>
  </w:style>
  <w:style w:type="paragraph" w:customStyle="1" w:styleId="BulletText1">
    <w:name w:val="Bullet Text 1"/>
    <w:basedOn w:val="Normal"/>
    <w:rsid w:val="00DA7C9E"/>
    <w:pPr>
      <w:ind w:left="187" w:hanging="187"/>
    </w:pPr>
  </w:style>
  <w:style w:type="paragraph" w:customStyle="1" w:styleId="BulletText2">
    <w:name w:val="Bullet Text 2"/>
    <w:basedOn w:val="BulletText1"/>
    <w:rsid w:val="00DA7C9E"/>
    <w:pPr>
      <w:ind w:left="360"/>
    </w:pPr>
  </w:style>
  <w:style w:type="paragraph" w:customStyle="1" w:styleId="ContinuedOnNextPa">
    <w:name w:val="Continued On Next Pa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DA7C9E"/>
    <w:rPr>
      <w:b/>
      <w:sz w:val="22"/>
    </w:rPr>
  </w:style>
  <w:style w:type="paragraph" w:customStyle="1" w:styleId="MapTitleContinued">
    <w:name w:val="Map Title. Continued"/>
    <w:basedOn w:val="Normal"/>
    <w:rsid w:val="00DA7C9E"/>
    <w:pPr>
      <w:spacing w:after="240"/>
      <w:jc w:val="both"/>
    </w:pPr>
    <w:rPr>
      <w:rFonts w:ascii="Helvetica" w:hAnsi="Helvetica"/>
      <w:b/>
    </w:rPr>
  </w:style>
  <w:style w:type="paragraph" w:customStyle="1" w:styleId="MemoLine">
    <w:name w:val="Memo Line"/>
    <w:basedOn w:val="BlockLine"/>
    <w:next w:val="Normal"/>
    <w:rsid w:val="00DA7C9E"/>
    <w:pPr>
      <w:ind w:left="0"/>
    </w:pPr>
  </w:style>
  <w:style w:type="paragraph" w:styleId="Footer">
    <w:name w:val="footer"/>
    <w:basedOn w:val="Normal"/>
    <w:link w:val="FooterChar"/>
    <w:rsid w:val="00DA7C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C9E"/>
  </w:style>
  <w:style w:type="paragraph" w:customStyle="1" w:styleId="TableText">
    <w:name w:val="Table Text"/>
    <w:basedOn w:val="Normal"/>
    <w:rsid w:val="00DA7C9E"/>
  </w:style>
  <w:style w:type="paragraph" w:customStyle="1" w:styleId="NoteText">
    <w:name w:val="Note Text"/>
    <w:basedOn w:val="BlockText"/>
    <w:rsid w:val="00DA7C9E"/>
  </w:style>
  <w:style w:type="paragraph" w:customStyle="1" w:styleId="TableHeaderText">
    <w:name w:val="Table Header Text"/>
    <w:basedOn w:val="TableText"/>
    <w:rsid w:val="00DA7C9E"/>
    <w:pPr>
      <w:jc w:val="center"/>
    </w:pPr>
    <w:rPr>
      <w:b/>
    </w:rPr>
  </w:style>
  <w:style w:type="paragraph" w:customStyle="1" w:styleId="EmbeddedText">
    <w:name w:val="Embedded Text"/>
    <w:basedOn w:val="TableText"/>
    <w:rsid w:val="00DA7C9E"/>
  </w:style>
  <w:style w:type="paragraph" w:styleId="TOC1">
    <w:name w:val="toc 1"/>
    <w:basedOn w:val="Normal"/>
    <w:next w:val="Normal"/>
    <w:semiHidden/>
    <w:rsid w:val="00DA7C9E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DA7C9E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DA7C9E"/>
    <w:rPr>
      <w:b/>
      <w:sz w:val="18"/>
    </w:rPr>
  </w:style>
  <w:style w:type="paragraph" w:styleId="BodyText2">
    <w:name w:val="Body Text 2"/>
    <w:basedOn w:val="Normal"/>
    <w:rsid w:val="00DA7C9E"/>
    <w:rPr>
      <w:b/>
      <w:sz w:val="16"/>
    </w:rPr>
  </w:style>
  <w:style w:type="paragraph" w:styleId="Title">
    <w:name w:val="Title"/>
    <w:basedOn w:val="Normal"/>
    <w:qFormat/>
    <w:rsid w:val="00DA7C9E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DA7C9E"/>
    <w:rPr>
      <w:color w:val="0000FF"/>
      <w:u w:val="single"/>
    </w:rPr>
  </w:style>
  <w:style w:type="paragraph" w:customStyle="1" w:styleId="Extmemo">
    <w:name w:val="Extmemo"/>
    <w:basedOn w:val="Normal"/>
    <w:rsid w:val="00DA7C9E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DA7C9E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DA7C9E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DA7C9E"/>
    <w:rPr>
      <w:color w:val="800080"/>
      <w:u w:val="single"/>
    </w:rPr>
  </w:style>
  <w:style w:type="paragraph" w:styleId="BodyText">
    <w:name w:val="Body Text"/>
    <w:basedOn w:val="Normal"/>
    <w:rsid w:val="00DA7C9E"/>
    <w:rPr>
      <w:sz w:val="16"/>
    </w:rPr>
  </w:style>
  <w:style w:type="character" w:styleId="CommentReference">
    <w:name w:val="annotation reference"/>
    <w:basedOn w:val="DefaultParagraphFont"/>
    <w:semiHidden/>
    <w:rsid w:val="00DA7C9E"/>
    <w:rPr>
      <w:sz w:val="16"/>
    </w:rPr>
  </w:style>
  <w:style w:type="paragraph" w:styleId="CommentText">
    <w:name w:val="annotation text"/>
    <w:basedOn w:val="Normal"/>
    <w:semiHidden/>
    <w:rsid w:val="00DA7C9E"/>
    <w:rPr>
      <w:sz w:val="20"/>
    </w:rPr>
  </w:style>
  <w:style w:type="paragraph" w:styleId="Caption">
    <w:name w:val="caption"/>
    <w:basedOn w:val="Normal"/>
    <w:next w:val="Normal"/>
    <w:qFormat/>
    <w:rsid w:val="00DA7C9E"/>
    <w:pPr>
      <w:spacing w:before="120" w:after="120"/>
    </w:pPr>
    <w:rPr>
      <w:b/>
    </w:rPr>
  </w:style>
  <w:style w:type="paragraph" w:customStyle="1" w:styleId="BodySingle">
    <w:name w:val="BodySingle"/>
    <w:rsid w:val="00DA7C9E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2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pt"/>
    <w:basedOn w:val="NormalWeb"/>
    <w:link w:val="Normal11ptChar"/>
    <w:rsid w:val="005A573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Normal11ptChar">
    <w:name w:val="Normal + 11pt Char"/>
    <w:basedOn w:val="DefaultParagraphFont"/>
    <w:link w:val="Normal11pt"/>
    <w:rsid w:val="005A5737"/>
    <w:rPr>
      <w:rFonts w:ascii="Arial" w:hAnsi="Arial" w:cs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rsid w:val="005A5737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3F5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D612E"/>
    <w:rPr>
      <w:sz w:val="24"/>
    </w:rPr>
  </w:style>
  <w:style w:type="character" w:styleId="Emphasis">
    <w:name w:val="Emphasis"/>
    <w:basedOn w:val="DefaultParagraphFont"/>
    <w:qFormat/>
    <w:rsid w:val="004D612E"/>
    <w:rPr>
      <w:i/>
      <w:iCs/>
    </w:rPr>
  </w:style>
  <w:style w:type="character" w:customStyle="1" w:styleId="NormalWebChar">
    <w:name w:val="Normal (Web) Char"/>
    <w:basedOn w:val="DefaultParagraphFont"/>
    <w:link w:val="NormalWeb"/>
    <w:rsid w:val="00BA32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2261"/>
    <w:pPr>
      <w:ind w:left="720"/>
    </w:pPr>
  </w:style>
  <w:style w:type="paragraph" w:styleId="NoSpacing">
    <w:name w:val="No Spacing"/>
    <w:uiPriority w:val="1"/>
    <w:qFormat/>
    <w:rsid w:val="00AD1C88"/>
    <w:rPr>
      <w:rFonts w:asciiTheme="minorHAnsi" w:eastAsiaTheme="minorHAnsi" w:hAnsiTheme="minorHAnsi" w:cstheme="minorBidi"/>
      <w:sz w:val="22"/>
      <w:szCs w:val="22"/>
    </w:rPr>
  </w:style>
  <w:style w:type="character" w:customStyle="1" w:styleId="il">
    <w:name w:val="il"/>
    <w:basedOn w:val="DefaultParagraphFont"/>
    <w:rsid w:val="008311A0"/>
  </w:style>
  <w:style w:type="paragraph" w:customStyle="1" w:styleId="m-6671343488694006114m-576479848491613334gmail-m7263042349216001727gmail-m-8314410021360329444gmail-m-974725138169950874m8551618128646189979msoplaintext">
    <w:name w:val="m_-6671343488694006114m-576479848491613334gmail-m7263042349216001727gmail-m-8314410021360329444gmail-m-974725138169950874m8551618128646189979msoplaintext"/>
    <w:basedOn w:val="Normal"/>
    <w:rsid w:val="00EC5B6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mcgill@doa.virginia.gov" TargetMode="External"/><Relationship Id="rId13" Type="http://schemas.openxmlformats.org/officeDocument/2006/relationships/hyperlink" Target="https://www.doa.virginia.gov/forms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fc@vsp.virgini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melita.holmes@doa.virgini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athy.mcgill@doa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yroll@doa.virginia.gov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B446-31AE-467E-A452-B98C98C4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1343</TotalTime>
  <Pages>4</Pages>
  <Words>1792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 2015-12</vt:lpstr>
    </vt:vector>
  </TitlesOfParts>
  <Company>Virginia Department of Accounts</Company>
  <LinksUpToDate>false</LinksUpToDate>
  <CharactersWithSpaces>11829</CharactersWithSpaces>
  <SharedDoc>false</SharedDoc>
  <HLinks>
    <vt:vector size="24" baseType="variant">
      <vt:variant>
        <vt:i4>3473485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http://www.doa.virginia.gov/Payroll/Payroll_Main.cfm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http://www.varetire.org/Pdf/Publications/er-manual-ch5-life-insurance.pdf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 2015-12</dc:title>
  <dc:subject>Payroll Bulletin 2015-12</dc:subject>
  <dc:creator>McGill, Cathy (DOA)</dc:creator>
  <cp:keywords>Payroll Bulletin 2015-12</cp:keywords>
  <dc:description>Payroll Bulletin 2015-12</dc:description>
  <cp:lastModifiedBy>McGill, Cathy (DOA)</cp:lastModifiedBy>
  <cp:revision>140</cp:revision>
  <cp:lastPrinted>2019-03-14T12:13:00Z</cp:lastPrinted>
  <dcterms:created xsi:type="dcterms:W3CDTF">2019-07-15T12:36:00Z</dcterms:created>
  <dcterms:modified xsi:type="dcterms:W3CDTF">2019-09-06T20:25:00Z</dcterms:modified>
  <cp:category>Payroll Bulletin 2015-12</cp:category>
</cp:coreProperties>
</file>