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9D43B0">
            <w:pPr>
              <w:pStyle w:val="Header"/>
              <w:rPr>
                <w:b/>
                <w:sz w:val="20"/>
              </w:rPr>
            </w:pPr>
            <w:r>
              <w:rPr>
                <w:b/>
                <w:sz w:val="20"/>
              </w:rPr>
              <w:t xml:space="preserve">Calendar Year </w:t>
            </w:r>
            <w:r w:rsidR="0000246D">
              <w:rPr>
                <w:b/>
                <w:sz w:val="20"/>
              </w:rPr>
              <w:t>202</w:t>
            </w:r>
            <w:r w:rsidR="009D43B0">
              <w:rPr>
                <w:b/>
                <w:sz w:val="20"/>
              </w:rPr>
              <w:t>1</w:t>
            </w:r>
          </w:p>
        </w:tc>
        <w:tc>
          <w:tcPr>
            <w:tcW w:w="3690" w:type="dxa"/>
            <w:tcBorders>
              <w:bottom w:val="double" w:sz="6" w:space="0" w:color="auto"/>
            </w:tcBorders>
          </w:tcPr>
          <w:p w:rsidR="007C617C" w:rsidRDefault="002710D8" w:rsidP="00254027">
            <w:pPr>
              <w:pStyle w:val="Header"/>
              <w:jc w:val="center"/>
              <w:rPr>
                <w:b/>
                <w:sz w:val="20"/>
              </w:rPr>
            </w:pPr>
            <w:r>
              <w:rPr>
                <w:b/>
                <w:sz w:val="20"/>
              </w:rPr>
              <w:t>Ju</w:t>
            </w:r>
            <w:r w:rsidR="00254027">
              <w:rPr>
                <w:b/>
                <w:sz w:val="20"/>
              </w:rPr>
              <w:t>ly</w:t>
            </w:r>
            <w:r>
              <w:rPr>
                <w:b/>
                <w:sz w:val="20"/>
              </w:rPr>
              <w:t xml:space="preserve"> </w:t>
            </w:r>
            <w:r w:rsidR="00BB0803">
              <w:rPr>
                <w:b/>
                <w:sz w:val="20"/>
              </w:rPr>
              <w:t>1</w:t>
            </w:r>
            <w:r w:rsidR="00254027">
              <w:rPr>
                <w:b/>
                <w:sz w:val="20"/>
              </w:rPr>
              <w:t>9</w:t>
            </w:r>
            <w:r w:rsidR="009D43B0">
              <w:rPr>
                <w:b/>
                <w:sz w:val="20"/>
              </w:rPr>
              <w:t>, 2021</w:t>
            </w:r>
          </w:p>
        </w:tc>
        <w:tc>
          <w:tcPr>
            <w:tcW w:w="3492" w:type="dxa"/>
            <w:tcBorders>
              <w:bottom w:val="double" w:sz="6" w:space="0" w:color="auto"/>
            </w:tcBorders>
          </w:tcPr>
          <w:p w:rsidR="007C617C" w:rsidRDefault="007C617C" w:rsidP="002710D8">
            <w:pPr>
              <w:pStyle w:val="Header"/>
              <w:jc w:val="right"/>
              <w:rPr>
                <w:b/>
                <w:sz w:val="20"/>
              </w:rPr>
            </w:pPr>
            <w:r>
              <w:rPr>
                <w:b/>
                <w:sz w:val="20"/>
              </w:rPr>
              <w:t xml:space="preserve">Volume </w:t>
            </w:r>
            <w:r w:rsidR="0000246D">
              <w:rPr>
                <w:b/>
                <w:sz w:val="20"/>
              </w:rPr>
              <w:t>202</w:t>
            </w:r>
            <w:r w:rsidR="009D43B0">
              <w:rPr>
                <w:b/>
                <w:sz w:val="20"/>
              </w:rPr>
              <w:t>1</w:t>
            </w:r>
            <w:r w:rsidR="000F3E48">
              <w:rPr>
                <w:b/>
                <w:sz w:val="20"/>
              </w:rPr>
              <w:t>-</w:t>
            </w:r>
            <w:r w:rsidR="009D43B0">
              <w:rPr>
                <w:b/>
                <w:sz w:val="20"/>
              </w:rPr>
              <w:t>0</w:t>
            </w:r>
            <w:r w:rsidR="002710D8">
              <w:rPr>
                <w:b/>
                <w:sz w:val="20"/>
              </w:rPr>
              <w:t>6</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79793D" w:rsidRDefault="00A3195F" w:rsidP="00DC06AA">
            <w:pPr>
              <w:numPr>
                <w:ilvl w:val="0"/>
                <w:numId w:val="1"/>
              </w:numPr>
              <w:tabs>
                <w:tab w:val="left" w:pos="990"/>
              </w:tabs>
              <w:spacing w:before="60"/>
              <w:ind w:left="547"/>
              <w:rPr>
                <w:szCs w:val="24"/>
              </w:rPr>
            </w:pPr>
            <w:r>
              <w:rPr>
                <w:szCs w:val="24"/>
              </w:rPr>
              <w:t xml:space="preserve">Virginia </w:t>
            </w:r>
            <w:r w:rsidR="0079793D">
              <w:rPr>
                <w:szCs w:val="24"/>
              </w:rPr>
              <w:t xml:space="preserve">Overtime </w:t>
            </w:r>
            <w:r w:rsidR="008E000B">
              <w:rPr>
                <w:szCs w:val="24"/>
              </w:rPr>
              <w:t>Wage Act</w:t>
            </w:r>
          </w:p>
          <w:p w:rsidR="00780A2B" w:rsidRPr="00574373" w:rsidRDefault="00780A2B" w:rsidP="00C72863">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0C1F8F" w:rsidRDefault="000C1F8F" w:rsidP="000C1F8F">
      <w:pPr>
        <w:pStyle w:val="BlockLine"/>
        <w:ind w:left="1350"/>
        <w:rPr>
          <w:sz w:val="16"/>
          <w:szCs w:val="16"/>
        </w:rPr>
      </w:pPr>
    </w:p>
    <w:p w:rsidR="00B21936" w:rsidRDefault="002710D8" w:rsidP="00B21936">
      <w:pPr>
        <w:rPr>
          <w:b/>
          <w:sz w:val="28"/>
          <w:szCs w:val="28"/>
        </w:rPr>
      </w:pPr>
      <w:r>
        <w:rPr>
          <w:b/>
          <w:sz w:val="28"/>
          <w:szCs w:val="28"/>
        </w:rPr>
        <w:t xml:space="preserve">Virginia </w:t>
      </w:r>
      <w:r w:rsidR="00B21936">
        <w:rPr>
          <w:b/>
          <w:sz w:val="28"/>
          <w:szCs w:val="28"/>
        </w:rPr>
        <w:t xml:space="preserve">Overtime </w:t>
      </w:r>
      <w:r w:rsidR="004D394A">
        <w:rPr>
          <w:b/>
          <w:sz w:val="28"/>
          <w:szCs w:val="28"/>
        </w:rPr>
        <w:t>Wage Act</w:t>
      </w:r>
      <w:bookmarkStart w:id="0" w:name="_GoBack"/>
      <w:bookmarkEnd w:id="0"/>
    </w:p>
    <w:p w:rsidR="00B21936" w:rsidRDefault="00B21936" w:rsidP="00B2193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B21936" w:rsidRPr="0034793F" w:rsidTr="00525F42">
        <w:tc>
          <w:tcPr>
            <w:tcW w:w="1980" w:type="dxa"/>
          </w:tcPr>
          <w:p w:rsidR="00B21936" w:rsidRPr="00A96338" w:rsidRDefault="00571933" w:rsidP="001B691C">
            <w:pPr>
              <w:rPr>
                <w:b/>
                <w:sz w:val="22"/>
                <w:szCs w:val="22"/>
              </w:rPr>
            </w:pPr>
            <w:r>
              <w:rPr>
                <w:b/>
                <w:sz w:val="22"/>
                <w:szCs w:val="22"/>
              </w:rPr>
              <w:t>Impact</w:t>
            </w:r>
            <w:r w:rsidR="001B691C">
              <w:rPr>
                <w:b/>
                <w:sz w:val="22"/>
                <w:szCs w:val="22"/>
              </w:rPr>
              <w:t>s of the New Law</w:t>
            </w:r>
          </w:p>
        </w:tc>
        <w:tc>
          <w:tcPr>
            <w:tcW w:w="8810" w:type="dxa"/>
          </w:tcPr>
          <w:p w:rsidR="00E80FAA" w:rsidRPr="00E80FAA" w:rsidRDefault="00155D8D" w:rsidP="00155D8D">
            <w:pPr>
              <w:rPr>
                <w:color w:val="000000"/>
                <w:sz w:val="22"/>
                <w:szCs w:val="22"/>
              </w:rPr>
            </w:pPr>
            <w:r>
              <w:rPr>
                <w:color w:val="000000"/>
                <w:sz w:val="22"/>
                <w:szCs w:val="22"/>
              </w:rPr>
              <w:t xml:space="preserve">The </w:t>
            </w:r>
            <w:r w:rsidR="00F80D14" w:rsidRPr="00F80D14">
              <w:rPr>
                <w:color w:val="000000"/>
                <w:sz w:val="22"/>
                <w:szCs w:val="22"/>
              </w:rPr>
              <w:t xml:space="preserve">Virginia Overtime Wage Act </w:t>
            </w:r>
            <w:r w:rsidR="00CE1EEC">
              <w:rPr>
                <w:color w:val="000000"/>
                <w:sz w:val="22"/>
                <w:szCs w:val="22"/>
              </w:rPr>
              <w:t>(</w:t>
            </w:r>
            <w:r w:rsidR="00B80B73">
              <w:rPr>
                <w:color w:val="000000"/>
                <w:sz w:val="22"/>
                <w:szCs w:val="22"/>
              </w:rPr>
              <w:t xml:space="preserve">VOWA; </w:t>
            </w:r>
            <w:hyperlink r:id="rId8" w:history="1">
              <w:r w:rsidR="00CE1EEC" w:rsidRPr="00E77E1E">
                <w:rPr>
                  <w:rStyle w:val="Hyperlink"/>
                  <w:sz w:val="22"/>
                  <w:szCs w:val="22"/>
                </w:rPr>
                <w:t>https://lis.virginia.gov/cgi-bin/legp604.exe?212+ful+HB2063ER</w:t>
              </w:r>
            </w:hyperlink>
            <w:r w:rsidR="00F80D14" w:rsidRPr="00F80D14">
              <w:rPr>
                <w:color w:val="000000"/>
                <w:sz w:val="22"/>
                <w:szCs w:val="22"/>
              </w:rPr>
              <w:t>)</w:t>
            </w:r>
            <w:r>
              <w:rPr>
                <w:color w:val="000000"/>
                <w:sz w:val="22"/>
                <w:szCs w:val="22"/>
              </w:rPr>
              <w:t xml:space="preserve"> took effect July 1</w:t>
            </w:r>
            <w:r w:rsidR="00991C94">
              <w:rPr>
                <w:color w:val="000000"/>
                <w:sz w:val="22"/>
                <w:szCs w:val="22"/>
              </w:rPr>
              <w:t xml:space="preserve">.  </w:t>
            </w:r>
            <w:r w:rsidR="00F80D14" w:rsidRPr="00F80D14">
              <w:rPr>
                <w:color w:val="000000"/>
                <w:sz w:val="22"/>
                <w:szCs w:val="22"/>
              </w:rPr>
              <w:t>Like the F</w:t>
            </w:r>
            <w:r w:rsidR="00991C94">
              <w:rPr>
                <w:color w:val="000000"/>
                <w:sz w:val="22"/>
                <w:szCs w:val="22"/>
              </w:rPr>
              <w:t>air Labor Standards Act (</w:t>
            </w:r>
            <w:hyperlink r:id="rId9" w:history="1">
              <w:r w:rsidR="00991C94" w:rsidRPr="00E77E1E">
                <w:rPr>
                  <w:rStyle w:val="Hyperlink"/>
                  <w:sz w:val="22"/>
                  <w:szCs w:val="22"/>
                </w:rPr>
                <w:t>https://www.dol.gov/sites/dolgov/files/WHD/legacy/files/FairLaborStandAct.pdf</w:t>
              </w:r>
            </w:hyperlink>
            <w:r w:rsidR="00991C94">
              <w:rPr>
                <w:color w:val="000000"/>
                <w:sz w:val="22"/>
                <w:szCs w:val="22"/>
              </w:rPr>
              <w:t>),</w:t>
            </w:r>
            <w:r w:rsidR="00F80D14" w:rsidRPr="00F80D14">
              <w:rPr>
                <w:color w:val="000000"/>
                <w:sz w:val="22"/>
                <w:szCs w:val="22"/>
              </w:rPr>
              <w:t xml:space="preserve"> the Overtime Act obligates employers to pay one and one-half times an employee’s regular rate of pay for hours physically worked in excess of 40 in a workweek</w:t>
            </w:r>
            <w:r w:rsidR="00CE1EEC">
              <w:rPr>
                <w:color w:val="000000"/>
                <w:sz w:val="22"/>
                <w:szCs w:val="22"/>
              </w:rPr>
              <w:t xml:space="preserve">; however, the difference is in how the regular rate of pay is determined for use in the overtime calculation for </w:t>
            </w:r>
            <w:r w:rsidR="00CE1EEC" w:rsidRPr="00CE1EEC">
              <w:rPr>
                <w:b/>
                <w:color w:val="000000"/>
                <w:sz w:val="22"/>
                <w:szCs w:val="22"/>
              </w:rPr>
              <w:t>salaried, non-exempt</w:t>
            </w:r>
            <w:r w:rsidR="00CE1EEC">
              <w:rPr>
                <w:color w:val="000000"/>
                <w:sz w:val="22"/>
                <w:szCs w:val="22"/>
              </w:rPr>
              <w:t xml:space="preserve"> employees (calculation of overtime for hourly employees remains the same).  In addition, the Overtime Act </w:t>
            </w:r>
            <w:r>
              <w:rPr>
                <w:color w:val="000000"/>
                <w:sz w:val="22"/>
                <w:szCs w:val="22"/>
              </w:rPr>
              <w:t xml:space="preserve">prohibits the accrual of overtime leave for any overtime earned on or after July 1.  It also </w:t>
            </w:r>
            <w:r w:rsidR="00CE1EEC">
              <w:rPr>
                <w:color w:val="000000"/>
                <w:sz w:val="22"/>
                <w:szCs w:val="22"/>
              </w:rPr>
              <w:t xml:space="preserve">includes changes to the </w:t>
            </w:r>
            <w:r w:rsidR="00F80D14" w:rsidRPr="00F80D14">
              <w:rPr>
                <w:color w:val="000000"/>
                <w:sz w:val="22"/>
                <w:szCs w:val="22"/>
              </w:rPr>
              <w:t xml:space="preserve">statute of limitations </w:t>
            </w:r>
            <w:r w:rsidR="00CE1EEC">
              <w:rPr>
                <w:color w:val="000000"/>
                <w:sz w:val="22"/>
                <w:szCs w:val="22"/>
              </w:rPr>
              <w:t xml:space="preserve">for filing </w:t>
            </w:r>
            <w:r w:rsidR="00F80D14" w:rsidRPr="00F80D14">
              <w:rPr>
                <w:color w:val="000000"/>
                <w:sz w:val="22"/>
                <w:szCs w:val="22"/>
              </w:rPr>
              <w:t>potential claims and the possible damages available</w:t>
            </w:r>
            <w:r>
              <w:rPr>
                <w:color w:val="000000"/>
                <w:sz w:val="22"/>
                <w:szCs w:val="22"/>
              </w:rPr>
              <w:t xml:space="preserve"> and</w:t>
            </w:r>
            <w:r w:rsidR="00CE1EEC">
              <w:rPr>
                <w:color w:val="000000"/>
                <w:sz w:val="22"/>
                <w:szCs w:val="22"/>
              </w:rPr>
              <w:t xml:space="preserve"> </w:t>
            </w:r>
            <w:r w:rsidR="00F80D14" w:rsidRPr="00F80D14">
              <w:rPr>
                <w:color w:val="000000"/>
                <w:sz w:val="22"/>
                <w:szCs w:val="22"/>
              </w:rPr>
              <w:t>waives sovereign immunity for the Commonwealth</w:t>
            </w:r>
            <w:r w:rsidR="00CE1EEC">
              <w:rPr>
                <w:color w:val="000000"/>
                <w:sz w:val="22"/>
                <w:szCs w:val="22"/>
              </w:rPr>
              <w:t xml:space="preserve"> as an employer</w:t>
            </w:r>
            <w:r w:rsidR="00F80D14" w:rsidRPr="00F80D14">
              <w:rPr>
                <w:color w:val="000000"/>
                <w:sz w:val="22"/>
                <w:szCs w:val="22"/>
              </w:rPr>
              <w:t>.</w:t>
            </w:r>
          </w:p>
        </w:tc>
      </w:tr>
    </w:tbl>
    <w:p w:rsidR="00B21936" w:rsidRDefault="00B21936" w:rsidP="00B2193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1B691C" w:rsidRPr="0034793F" w:rsidTr="00FE1D22">
        <w:tc>
          <w:tcPr>
            <w:tcW w:w="1980" w:type="dxa"/>
          </w:tcPr>
          <w:p w:rsidR="001B691C" w:rsidRPr="00A96338" w:rsidRDefault="001B691C" w:rsidP="001B691C">
            <w:pPr>
              <w:rPr>
                <w:b/>
                <w:sz w:val="22"/>
                <w:szCs w:val="22"/>
              </w:rPr>
            </w:pPr>
            <w:r>
              <w:rPr>
                <w:b/>
                <w:sz w:val="22"/>
                <w:szCs w:val="22"/>
              </w:rPr>
              <w:t>Calculations for Hourly or Non-Exempt Salaried</w:t>
            </w:r>
          </w:p>
        </w:tc>
        <w:tc>
          <w:tcPr>
            <w:tcW w:w="8810" w:type="dxa"/>
          </w:tcPr>
          <w:p w:rsidR="001B691C" w:rsidRDefault="001B691C" w:rsidP="00FE1D22">
            <w:pPr>
              <w:rPr>
                <w:sz w:val="22"/>
                <w:szCs w:val="22"/>
              </w:rPr>
            </w:pPr>
            <w:r w:rsidRPr="00DA47B2">
              <w:rPr>
                <w:sz w:val="22"/>
                <w:szCs w:val="22"/>
              </w:rPr>
              <w:t xml:space="preserve">Under the FLSA, an employee's regular rate of pay is the sum of all remuneration for employment (barring certain statutory exclusions) </w:t>
            </w:r>
            <w:r w:rsidRPr="001D5A8E">
              <w:rPr>
                <w:sz w:val="22"/>
                <w:szCs w:val="22"/>
              </w:rPr>
              <w:t>divided by total hours worked in a workweek.</w:t>
            </w:r>
            <w:r>
              <w:rPr>
                <w:sz w:val="22"/>
                <w:szCs w:val="22"/>
              </w:rPr>
              <w:t xml:space="preserve">  </w:t>
            </w:r>
            <w:r w:rsidRPr="00DA47B2">
              <w:rPr>
                <w:sz w:val="22"/>
                <w:szCs w:val="22"/>
              </w:rPr>
              <w:t>The state law employs a different calculation that depends on whether the employee is paid on an </w:t>
            </w:r>
            <w:r w:rsidRPr="00DA47B2">
              <w:rPr>
                <w:b/>
                <w:bCs/>
                <w:sz w:val="22"/>
                <w:szCs w:val="22"/>
              </w:rPr>
              <w:t>hourly</w:t>
            </w:r>
            <w:r w:rsidRPr="00DA47B2">
              <w:rPr>
                <w:sz w:val="22"/>
                <w:szCs w:val="22"/>
              </w:rPr>
              <w:t> or a </w:t>
            </w:r>
            <w:r w:rsidRPr="00DA47B2">
              <w:rPr>
                <w:b/>
                <w:bCs/>
                <w:sz w:val="22"/>
                <w:szCs w:val="22"/>
              </w:rPr>
              <w:t>salary</w:t>
            </w:r>
            <w:r>
              <w:rPr>
                <w:sz w:val="22"/>
                <w:szCs w:val="22"/>
              </w:rPr>
              <w:t> basis.</w:t>
            </w:r>
          </w:p>
          <w:p w:rsidR="001B691C" w:rsidRDefault="001B691C" w:rsidP="00FE1D22">
            <w:pPr>
              <w:rPr>
                <w:sz w:val="22"/>
                <w:szCs w:val="22"/>
              </w:rPr>
            </w:pPr>
          </w:p>
          <w:p w:rsidR="001B691C" w:rsidRDefault="001B691C" w:rsidP="00FE1D22">
            <w:pPr>
              <w:rPr>
                <w:sz w:val="22"/>
                <w:szCs w:val="22"/>
              </w:rPr>
            </w:pPr>
            <w:r w:rsidRPr="00DA47B2">
              <w:rPr>
                <w:sz w:val="22"/>
                <w:szCs w:val="22"/>
              </w:rPr>
              <w:t xml:space="preserve">For </w:t>
            </w:r>
            <w:r w:rsidRPr="001D5A8E">
              <w:rPr>
                <w:b/>
                <w:sz w:val="22"/>
                <w:szCs w:val="22"/>
              </w:rPr>
              <w:t>hourly</w:t>
            </w:r>
            <w:r w:rsidRPr="00DA47B2">
              <w:rPr>
                <w:sz w:val="22"/>
                <w:szCs w:val="22"/>
              </w:rPr>
              <w:t xml:space="preserve"> employees, the </w:t>
            </w:r>
            <w:r>
              <w:rPr>
                <w:sz w:val="22"/>
                <w:szCs w:val="22"/>
              </w:rPr>
              <w:t xml:space="preserve">calculation for the </w:t>
            </w:r>
            <w:r w:rsidRPr="00DA47B2">
              <w:rPr>
                <w:sz w:val="22"/>
                <w:szCs w:val="22"/>
              </w:rPr>
              <w:t xml:space="preserve">regular rate of pay </w:t>
            </w:r>
            <w:r>
              <w:rPr>
                <w:sz w:val="22"/>
                <w:szCs w:val="22"/>
              </w:rPr>
              <w:t xml:space="preserve">remains the same.  It </w:t>
            </w:r>
            <w:r w:rsidRPr="00DA47B2">
              <w:rPr>
                <w:sz w:val="22"/>
                <w:szCs w:val="22"/>
              </w:rPr>
              <w:t>is the</w:t>
            </w:r>
            <w:r>
              <w:rPr>
                <w:sz w:val="22"/>
                <w:szCs w:val="22"/>
              </w:rPr>
              <w:t xml:space="preserve"> sum of the total hours worked times the </w:t>
            </w:r>
            <w:r w:rsidRPr="00DA47B2">
              <w:rPr>
                <w:sz w:val="22"/>
                <w:szCs w:val="22"/>
              </w:rPr>
              <w:t xml:space="preserve">hourly rate plus any other non-overtime wages paid or allocated for the workweek—not counting the same items that would be excluded from the FLSA calculation—and then </w:t>
            </w:r>
            <w:r w:rsidRPr="001D5A8E">
              <w:rPr>
                <w:b/>
                <w:sz w:val="22"/>
                <w:szCs w:val="22"/>
              </w:rPr>
              <w:t>divided by the total number of hours worked in the workweek</w:t>
            </w:r>
            <w:r w:rsidRPr="00DA47B2">
              <w:rPr>
                <w:sz w:val="22"/>
                <w:szCs w:val="22"/>
              </w:rPr>
              <w:t>.</w:t>
            </w:r>
          </w:p>
          <w:p w:rsidR="001B691C" w:rsidRDefault="001B691C" w:rsidP="00FE1D22">
            <w:pPr>
              <w:rPr>
                <w:sz w:val="22"/>
                <w:szCs w:val="22"/>
              </w:rPr>
            </w:pPr>
          </w:p>
          <w:p w:rsidR="001B691C" w:rsidRPr="0034793F" w:rsidRDefault="001B691C" w:rsidP="00106069">
            <w:pPr>
              <w:rPr>
                <w:sz w:val="22"/>
                <w:szCs w:val="22"/>
              </w:rPr>
            </w:pPr>
            <w:r w:rsidRPr="00DA47B2">
              <w:rPr>
                <w:sz w:val="22"/>
                <w:szCs w:val="22"/>
              </w:rPr>
              <w:t xml:space="preserve">For </w:t>
            </w:r>
            <w:r>
              <w:rPr>
                <w:sz w:val="22"/>
                <w:szCs w:val="22"/>
              </w:rPr>
              <w:t xml:space="preserve">non-exempt </w:t>
            </w:r>
            <w:r w:rsidRPr="00DA47B2">
              <w:rPr>
                <w:sz w:val="22"/>
                <w:szCs w:val="22"/>
              </w:rPr>
              <w:t xml:space="preserve">employees who are </w:t>
            </w:r>
            <w:r w:rsidRPr="001D5A8E">
              <w:rPr>
                <w:b/>
                <w:sz w:val="22"/>
                <w:szCs w:val="22"/>
              </w:rPr>
              <w:t>salaried</w:t>
            </w:r>
            <w:r w:rsidRPr="00DA47B2">
              <w:rPr>
                <w:sz w:val="22"/>
                <w:szCs w:val="22"/>
              </w:rPr>
              <w:t xml:space="preserve"> or paid on some other regular basis, the regular rate of pay is </w:t>
            </w:r>
            <w:r>
              <w:rPr>
                <w:sz w:val="22"/>
                <w:szCs w:val="22"/>
              </w:rPr>
              <w:t xml:space="preserve">the sum of </w:t>
            </w:r>
            <w:r w:rsidRPr="00DA47B2">
              <w:rPr>
                <w:sz w:val="22"/>
                <w:szCs w:val="22"/>
              </w:rPr>
              <w:t xml:space="preserve">all </w:t>
            </w:r>
            <w:r>
              <w:rPr>
                <w:sz w:val="22"/>
                <w:szCs w:val="22"/>
              </w:rPr>
              <w:t xml:space="preserve">regular wages paid for the workweek plus </w:t>
            </w:r>
            <w:r w:rsidRPr="00DA47B2">
              <w:rPr>
                <w:sz w:val="22"/>
                <w:szCs w:val="22"/>
              </w:rPr>
              <w:t>any other non-overtime wages paid or allocated for the workweek—not counting the same items that would be excluded from the FLSA calculation—</w:t>
            </w:r>
            <w:r>
              <w:rPr>
                <w:sz w:val="22"/>
                <w:szCs w:val="22"/>
              </w:rPr>
              <w:t xml:space="preserve">and then </w:t>
            </w:r>
            <w:r w:rsidRPr="001D5A8E">
              <w:rPr>
                <w:b/>
                <w:sz w:val="22"/>
                <w:szCs w:val="22"/>
              </w:rPr>
              <w:t>divided by 1/40</w:t>
            </w:r>
            <w:r>
              <w:rPr>
                <w:sz w:val="22"/>
                <w:szCs w:val="22"/>
              </w:rPr>
              <w:t xml:space="preserve"> (or multiplied by .025).</w:t>
            </w:r>
            <w:r w:rsidR="00106069">
              <w:rPr>
                <w:sz w:val="22"/>
                <w:szCs w:val="22"/>
              </w:rPr>
              <w:t xml:space="preserve">  It does not impact overtime calculations for law enforcement employees </w:t>
            </w:r>
            <w:proofErr w:type="gramStart"/>
            <w:r w:rsidR="00106069">
              <w:rPr>
                <w:sz w:val="22"/>
                <w:szCs w:val="22"/>
              </w:rPr>
              <w:t>in  14</w:t>
            </w:r>
            <w:proofErr w:type="gramEnd"/>
            <w:r w:rsidR="00106069">
              <w:rPr>
                <w:sz w:val="22"/>
                <w:szCs w:val="22"/>
              </w:rPr>
              <w:t>, 21 or 28-day work cycles.</w:t>
            </w:r>
          </w:p>
        </w:tc>
      </w:tr>
    </w:tbl>
    <w:p w:rsidR="001B691C" w:rsidRDefault="001B691C" w:rsidP="001B691C">
      <w:pPr>
        <w:pStyle w:val="BlockLine"/>
        <w:ind w:left="1350"/>
        <w:rPr>
          <w:sz w:val="16"/>
          <w:szCs w:val="16"/>
        </w:rPr>
      </w:pPr>
    </w:p>
    <w:p w:rsidR="008D3353" w:rsidRDefault="008D3353">
      <w:r>
        <w:br w:type="page"/>
      </w:r>
    </w:p>
    <w:p w:rsidR="008D3353" w:rsidRDefault="008D3353" w:rsidP="008D3353">
      <w:pPr>
        <w:rPr>
          <w:b/>
          <w:sz w:val="28"/>
          <w:szCs w:val="28"/>
        </w:rPr>
      </w:pPr>
      <w:r>
        <w:rPr>
          <w:b/>
          <w:sz w:val="28"/>
          <w:szCs w:val="28"/>
        </w:rPr>
        <w:lastRenderedPageBreak/>
        <w:t xml:space="preserve">Virginia </w:t>
      </w:r>
      <w:r w:rsidR="004D394A">
        <w:rPr>
          <w:b/>
          <w:sz w:val="28"/>
          <w:szCs w:val="28"/>
        </w:rPr>
        <w:t>Overtime Wage Act</w:t>
      </w:r>
      <w:r>
        <w:rPr>
          <w:b/>
          <w:sz w:val="28"/>
          <w:szCs w:val="28"/>
        </w:rPr>
        <w:t xml:space="preserve">, </w:t>
      </w:r>
      <w:r w:rsidRPr="00D55F48">
        <w:rPr>
          <w:b/>
          <w:szCs w:val="24"/>
        </w:rPr>
        <w:t>continued</w:t>
      </w:r>
    </w:p>
    <w:p w:rsidR="008D3353" w:rsidRDefault="008D3353" w:rsidP="008D3353">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E71845" w:rsidTr="00E71845">
        <w:tc>
          <w:tcPr>
            <w:tcW w:w="1975" w:type="dxa"/>
          </w:tcPr>
          <w:p w:rsidR="00E71845" w:rsidRDefault="00E71845">
            <w:pPr>
              <w:rPr>
                <w:b/>
                <w:sz w:val="28"/>
                <w:szCs w:val="28"/>
              </w:rPr>
            </w:pPr>
            <w:r w:rsidRPr="00E71845">
              <w:rPr>
                <w:b/>
                <w:sz w:val="22"/>
                <w:szCs w:val="22"/>
              </w:rPr>
              <w:t>Compensation</w:t>
            </w:r>
            <w:r>
              <w:rPr>
                <w:b/>
                <w:sz w:val="22"/>
                <w:szCs w:val="22"/>
              </w:rPr>
              <w:t xml:space="preserve"> Included in Calculations</w:t>
            </w:r>
          </w:p>
        </w:tc>
        <w:tc>
          <w:tcPr>
            <w:tcW w:w="8815" w:type="dxa"/>
          </w:tcPr>
          <w:p w:rsidR="00E71845" w:rsidRDefault="00B80B73" w:rsidP="00272510">
            <w:r>
              <w:t xml:space="preserve">When a non-exempt employee receives more than one hourly rate of pay, works in more than one position at the same agency at different hourly rates, or receives other payments (such as shift differentials, on-call pay, </w:t>
            </w:r>
            <w:r w:rsidR="008D3353" w:rsidRPr="008D3353">
              <w:rPr>
                <w:u w:val="single"/>
              </w:rPr>
              <w:t>non</w:t>
            </w:r>
            <w:r w:rsidR="008D3353">
              <w:t>-</w:t>
            </w:r>
            <w:r w:rsidRPr="008D3353">
              <w:t>discretionary</w:t>
            </w:r>
            <w:r>
              <w:t xml:space="preserve"> bonuses, temporary pay, etc.) during the work cycle</w:t>
            </w:r>
            <w:r w:rsidR="00272510">
              <w:t xml:space="preserve"> the amounts must be included in the amount of compensation used to determine the regular rate in compliance with both the FLSA and the VOWA.  </w:t>
            </w:r>
          </w:p>
          <w:p w:rsidR="00272510" w:rsidRDefault="00272510" w:rsidP="00272510"/>
          <w:p w:rsidR="008D3353" w:rsidRDefault="008D3353" w:rsidP="00272510">
            <w:r>
              <w:t>Due to a change in the law in 2019 the following types of pay may be excluded</w:t>
            </w:r>
            <w:r w:rsidR="00BE5FFB">
              <w:t xml:space="preserve"> when calculating the regular rate of pay</w:t>
            </w:r>
            <w:r>
              <w:t>:</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the cost of providing certain parking benefits, wellness programs, onsite specialist treatment, gym access and fitness classes, employee discounts on retail goods and services, certain tuition benefits (whether paid to an employee, an education provider, or a student-loan program), and adoption assistance;</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payments for unused paid leave, including paid sick leave or paid time off;</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payments of certain penalties required under state and local scheduling laws;</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reimbursed expenses including cellphone plans, credentialing exam fees, organization membership dues, and travel, even if not incurred “solely” for the employer’s benefit; and clarifies that reimbursements that do not exceed the maximum travel reimbursement under the Federal Travel Regulation System or the optional IRS substantiation amounts for travel expenses are per se “reasonable payments”;</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certain sign-on bonuses and certain longevity bonuses;</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the cost of office coffee and snacks to employees as gifts;</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r w:rsidRPr="00BE5FFB">
              <w:rPr>
                <w:rFonts w:ascii="Source Sans Pro" w:hAnsi="Source Sans Pro" w:cs="Segoe UI"/>
                <w:color w:val="1B1B1B"/>
                <w:szCs w:val="24"/>
                <w:lang w:val="en"/>
              </w:rPr>
              <w:t>discretionary bonuses, by clarifying that the label given a bonus does not determine whether it is discretionary and providing additional examples) and</w:t>
            </w:r>
          </w:p>
          <w:p w:rsidR="00BE5FFB" w:rsidRPr="00BE5FFB" w:rsidRDefault="00BE5FFB" w:rsidP="00BE5FFB">
            <w:pPr>
              <w:numPr>
                <w:ilvl w:val="0"/>
                <w:numId w:val="32"/>
              </w:numPr>
              <w:spacing w:before="100" w:beforeAutospacing="1" w:after="60"/>
              <w:rPr>
                <w:rFonts w:ascii="Source Sans Pro" w:hAnsi="Source Sans Pro" w:cs="Segoe UI"/>
                <w:color w:val="1B1B1B"/>
                <w:szCs w:val="24"/>
                <w:lang w:val="en"/>
              </w:rPr>
            </w:pPr>
            <w:proofErr w:type="gramStart"/>
            <w:r w:rsidRPr="00BE5FFB">
              <w:rPr>
                <w:rFonts w:ascii="Source Sans Pro" w:hAnsi="Source Sans Pro" w:cs="Segoe UI"/>
                <w:color w:val="1B1B1B"/>
                <w:szCs w:val="24"/>
                <w:lang w:val="en"/>
              </w:rPr>
              <w:t>contributions</w:t>
            </w:r>
            <w:proofErr w:type="gramEnd"/>
            <w:r w:rsidRPr="00BE5FFB">
              <w:rPr>
                <w:rFonts w:ascii="Source Sans Pro" w:hAnsi="Source Sans Pro" w:cs="Segoe UI"/>
                <w:color w:val="1B1B1B"/>
                <w:szCs w:val="24"/>
                <w:lang w:val="en"/>
              </w:rPr>
              <w:t xml:space="preserve"> to benefit plans for accident, unemployment, legal services, or other events that could cause future financial hardship or expense.</w:t>
            </w:r>
          </w:p>
          <w:p w:rsidR="008D3353" w:rsidRDefault="008D3353" w:rsidP="00272510"/>
          <w:p w:rsidR="00272510" w:rsidRDefault="007E77FB" w:rsidP="00272510">
            <w:r>
              <w:t>Agencies are encouraged to review and become familiar with a</w:t>
            </w:r>
            <w:r w:rsidR="00272510">
              <w:t xml:space="preserve">dditional information regarding requirements of the FLSA </w:t>
            </w:r>
            <w:r>
              <w:t>o</w:t>
            </w:r>
            <w:r w:rsidR="00272510">
              <w:t xml:space="preserve">n the following </w:t>
            </w:r>
            <w:proofErr w:type="spellStart"/>
            <w:r w:rsidR="00272510">
              <w:t>Dept</w:t>
            </w:r>
            <w:proofErr w:type="spellEnd"/>
            <w:r w:rsidR="00272510">
              <w:t xml:space="preserve"> of Labor fact sheets:</w:t>
            </w:r>
          </w:p>
          <w:p w:rsidR="00272510" w:rsidRDefault="00272510" w:rsidP="00272510"/>
          <w:p w:rsidR="00272510" w:rsidRDefault="004D394A" w:rsidP="00272510">
            <w:hyperlink r:id="rId10" w:history="1">
              <w:r w:rsidR="00272510" w:rsidRPr="00DA3255">
                <w:rPr>
                  <w:rStyle w:val="Hyperlink"/>
                </w:rPr>
                <w:t>https://www.dol.gov/sites/dolgov/files/WHD/legacy/files/whdfs23.pdf</w:t>
              </w:r>
            </w:hyperlink>
          </w:p>
          <w:p w:rsidR="00272510" w:rsidRDefault="00272510" w:rsidP="00272510"/>
          <w:p w:rsidR="00272510" w:rsidRDefault="004D394A" w:rsidP="00272510">
            <w:pPr>
              <w:rPr>
                <w:sz w:val="22"/>
                <w:szCs w:val="22"/>
              </w:rPr>
            </w:pPr>
            <w:hyperlink r:id="rId11" w:history="1">
              <w:r w:rsidR="00272510" w:rsidRPr="00DA3255">
                <w:rPr>
                  <w:rStyle w:val="Hyperlink"/>
                  <w:sz w:val="22"/>
                  <w:szCs w:val="22"/>
                </w:rPr>
                <w:t>https://www.dol.gov/agencies/whd/overtime/tools</w:t>
              </w:r>
            </w:hyperlink>
          </w:p>
          <w:p w:rsidR="008D3353" w:rsidRDefault="008D3353" w:rsidP="00272510">
            <w:pPr>
              <w:rPr>
                <w:sz w:val="22"/>
                <w:szCs w:val="22"/>
              </w:rPr>
            </w:pPr>
          </w:p>
          <w:p w:rsidR="008D3353" w:rsidRDefault="004D394A" w:rsidP="00272510">
            <w:pPr>
              <w:rPr>
                <w:sz w:val="22"/>
                <w:szCs w:val="22"/>
              </w:rPr>
            </w:pPr>
            <w:hyperlink r:id="rId12" w:history="1">
              <w:r w:rsidR="008D3353" w:rsidRPr="00DA3255">
                <w:rPr>
                  <w:rStyle w:val="Hyperlink"/>
                  <w:sz w:val="22"/>
                  <w:szCs w:val="22"/>
                </w:rPr>
                <w:t>https://www.dol.gov/agencies/whd/overtime/2019-regular-rate</w:t>
              </w:r>
            </w:hyperlink>
          </w:p>
          <w:p w:rsidR="008D3353" w:rsidRDefault="008D3353" w:rsidP="00272510">
            <w:pPr>
              <w:rPr>
                <w:sz w:val="22"/>
                <w:szCs w:val="22"/>
              </w:rPr>
            </w:pPr>
          </w:p>
          <w:p w:rsidR="00272510" w:rsidRDefault="004D394A" w:rsidP="00272510">
            <w:pPr>
              <w:rPr>
                <w:sz w:val="22"/>
                <w:szCs w:val="22"/>
              </w:rPr>
            </w:pPr>
            <w:hyperlink r:id="rId13" w:history="1">
              <w:r w:rsidR="008D3353" w:rsidRPr="00DA3255">
                <w:rPr>
                  <w:rStyle w:val="Hyperlink"/>
                  <w:sz w:val="22"/>
                  <w:szCs w:val="22"/>
                </w:rPr>
                <w:t>https://www.dol.gov/agencies/whd/fact-sheets/regular-rate</w:t>
              </w:r>
            </w:hyperlink>
          </w:p>
          <w:p w:rsidR="008D3353" w:rsidRDefault="008D3353" w:rsidP="00272510">
            <w:pPr>
              <w:rPr>
                <w:sz w:val="22"/>
                <w:szCs w:val="22"/>
              </w:rPr>
            </w:pPr>
          </w:p>
          <w:p w:rsidR="00272510" w:rsidRPr="00B80B73" w:rsidRDefault="00272510" w:rsidP="00272510">
            <w:pPr>
              <w:rPr>
                <w:sz w:val="22"/>
                <w:szCs w:val="22"/>
              </w:rPr>
            </w:pPr>
          </w:p>
        </w:tc>
      </w:tr>
    </w:tbl>
    <w:p w:rsidR="00CB5076" w:rsidRDefault="00CB5076" w:rsidP="00CB5076">
      <w:pPr>
        <w:pStyle w:val="BlockLine"/>
        <w:ind w:left="1350"/>
        <w:jc w:val="right"/>
        <w:rPr>
          <w:sz w:val="16"/>
          <w:szCs w:val="16"/>
        </w:rPr>
      </w:pPr>
      <w:r>
        <w:rPr>
          <w:sz w:val="16"/>
          <w:szCs w:val="16"/>
        </w:rPr>
        <w:t>Continued on the next page</w:t>
      </w:r>
    </w:p>
    <w:p w:rsidR="00D55F48" w:rsidRDefault="00D55F48">
      <w:pPr>
        <w:rPr>
          <w:b/>
          <w:sz w:val="28"/>
          <w:szCs w:val="28"/>
        </w:rPr>
      </w:pPr>
      <w:r>
        <w:rPr>
          <w:b/>
          <w:sz w:val="28"/>
          <w:szCs w:val="28"/>
        </w:rPr>
        <w:br w:type="page"/>
      </w:r>
    </w:p>
    <w:p w:rsidR="00D55F48" w:rsidRDefault="00D55F48" w:rsidP="00D55F48">
      <w:pPr>
        <w:rPr>
          <w:b/>
          <w:sz w:val="28"/>
          <w:szCs w:val="28"/>
        </w:rPr>
      </w:pPr>
      <w:r>
        <w:rPr>
          <w:b/>
          <w:sz w:val="28"/>
          <w:szCs w:val="28"/>
        </w:rPr>
        <w:lastRenderedPageBreak/>
        <w:t xml:space="preserve">Virginia </w:t>
      </w:r>
      <w:r w:rsidR="004D394A">
        <w:rPr>
          <w:b/>
          <w:sz w:val="28"/>
          <w:szCs w:val="28"/>
        </w:rPr>
        <w:t>Overtime Wage Act</w:t>
      </w:r>
      <w:r>
        <w:rPr>
          <w:b/>
          <w:sz w:val="28"/>
          <w:szCs w:val="28"/>
        </w:rPr>
        <w:t xml:space="preserve">, </w:t>
      </w:r>
      <w:r w:rsidRPr="00D55F48">
        <w:rPr>
          <w:b/>
          <w:szCs w:val="24"/>
        </w:rPr>
        <w:t>continued</w:t>
      </w:r>
    </w:p>
    <w:p w:rsidR="00D55F48" w:rsidRDefault="00D55F48" w:rsidP="00D55F48">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571933" w:rsidRPr="0034793F" w:rsidTr="00FE1D22">
        <w:tc>
          <w:tcPr>
            <w:tcW w:w="1980" w:type="dxa"/>
          </w:tcPr>
          <w:p w:rsidR="00571933" w:rsidRPr="00A96338" w:rsidRDefault="00451AFF" w:rsidP="00FE1D22">
            <w:pPr>
              <w:rPr>
                <w:b/>
                <w:sz w:val="22"/>
                <w:szCs w:val="22"/>
              </w:rPr>
            </w:pPr>
            <w:r>
              <w:rPr>
                <w:b/>
                <w:sz w:val="22"/>
                <w:szCs w:val="22"/>
              </w:rPr>
              <w:t>CIPPS Calculations</w:t>
            </w:r>
          </w:p>
        </w:tc>
        <w:tc>
          <w:tcPr>
            <w:tcW w:w="8810" w:type="dxa"/>
          </w:tcPr>
          <w:p w:rsidR="00571933" w:rsidRDefault="005C3505" w:rsidP="002B1928">
            <w:pPr>
              <w:rPr>
                <w:sz w:val="22"/>
                <w:szCs w:val="22"/>
              </w:rPr>
            </w:pPr>
            <w:r>
              <w:rPr>
                <w:sz w:val="22"/>
                <w:szCs w:val="22"/>
              </w:rPr>
              <w:t>Unfortunately CIPPS is currently unable to automatically calculate overtime for salaried, non-exempt employees acco</w:t>
            </w:r>
            <w:r w:rsidR="002B1928">
              <w:rPr>
                <w:sz w:val="22"/>
                <w:szCs w:val="22"/>
              </w:rPr>
              <w:t xml:space="preserve">rding to the new calculations.   </w:t>
            </w:r>
            <w:r w:rsidR="005A5C78">
              <w:rPr>
                <w:sz w:val="22"/>
                <w:szCs w:val="22"/>
              </w:rPr>
              <w:t xml:space="preserve">As an alternative, it is recommended that agencies </w:t>
            </w:r>
            <w:r w:rsidR="004A7D32">
              <w:rPr>
                <w:sz w:val="22"/>
                <w:szCs w:val="22"/>
              </w:rPr>
              <w:t xml:space="preserve">enter or allow their </w:t>
            </w:r>
            <w:r w:rsidR="005A5C78">
              <w:rPr>
                <w:sz w:val="22"/>
                <w:szCs w:val="22"/>
              </w:rPr>
              <w:t xml:space="preserve">normal overtime transactions </w:t>
            </w:r>
            <w:r w:rsidR="004A7D32">
              <w:rPr>
                <w:sz w:val="22"/>
                <w:szCs w:val="22"/>
              </w:rPr>
              <w:t xml:space="preserve">to process from TAL </w:t>
            </w:r>
            <w:r w:rsidR="005A5C78">
              <w:rPr>
                <w:sz w:val="22"/>
                <w:szCs w:val="22"/>
              </w:rPr>
              <w:t>and then pay the difference using a new special pay that has been added, VOT</w:t>
            </w:r>
            <w:r w:rsidR="00815B19">
              <w:rPr>
                <w:sz w:val="22"/>
                <w:szCs w:val="22"/>
              </w:rPr>
              <w:t>W</w:t>
            </w:r>
            <w:r w:rsidR="005A5C78">
              <w:rPr>
                <w:sz w:val="22"/>
                <w:szCs w:val="22"/>
              </w:rPr>
              <w:t>A</w:t>
            </w:r>
            <w:r w:rsidR="00DF0899">
              <w:rPr>
                <w:sz w:val="22"/>
                <w:szCs w:val="22"/>
              </w:rPr>
              <w:t xml:space="preserve"> (094)</w:t>
            </w:r>
            <w:r w:rsidR="005A5C78">
              <w:rPr>
                <w:sz w:val="22"/>
                <w:szCs w:val="22"/>
              </w:rPr>
              <w:t>.</w:t>
            </w:r>
            <w:r w:rsidR="004A7D32">
              <w:rPr>
                <w:sz w:val="22"/>
                <w:szCs w:val="22"/>
              </w:rPr>
              <w:t xml:space="preserve">  Another option is to manually calculate the amount due and enter the overtime transaction to show hours and amount (total amount or calculated regular rate).  A spreadsheet will be available on the SPO website later this week to assist with calculations.</w:t>
            </w:r>
            <w:r w:rsidR="00556E5E">
              <w:rPr>
                <w:sz w:val="22"/>
                <w:szCs w:val="22"/>
              </w:rPr>
              <w:t xml:space="preserve">  Also note that inclusion of non-productive time is not required according to FLSA or the </w:t>
            </w:r>
            <w:r w:rsidR="009C3F9B">
              <w:rPr>
                <w:sz w:val="22"/>
                <w:szCs w:val="22"/>
              </w:rPr>
              <w:t>VOTWA</w:t>
            </w:r>
            <w:r w:rsidR="00556E5E">
              <w:rPr>
                <w:sz w:val="22"/>
                <w:szCs w:val="22"/>
              </w:rPr>
              <w:t>; however, CIPPS does not differentiate between productive and non-productive time in overtime calculations.</w:t>
            </w:r>
            <w:r w:rsidR="002B1928">
              <w:rPr>
                <w:sz w:val="22"/>
                <w:szCs w:val="22"/>
              </w:rPr>
              <w:t xml:space="preserve">  If the option to add the difference using the special pay code is chosen, see Payroll Bulletin #2013-10 for examples of how to process in CIPPS to ensure that current CIPPS calculations meet FLSA requirements (</w:t>
            </w:r>
            <w:hyperlink r:id="rId14" w:history="1">
              <w:r w:rsidR="002B1928" w:rsidRPr="00FC0A91">
                <w:rPr>
                  <w:rStyle w:val="Hyperlink"/>
                  <w:sz w:val="22"/>
                  <w:szCs w:val="22"/>
                </w:rPr>
                <w:t>https://www.doa.virginia.gov/reference/payroll/bulletins/2013/2013_10.pdf</w:t>
              </w:r>
            </w:hyperlink>
            <w:r w:rsidR="002B1928">
              <w:rPr>
                <w:sz w:val="22"/>
                <w:szCs w:val="22"/>
              </w:rPr>
              <w:t>).</w:t>
            </w:r>
          </w:p>
          <w:p w:rsidR="002B1928" w:rsidRDefault="002B1928" w:rsidP="002B1928">
            <w:pPr>
              <w:rPr>
                <w:sz w:val="22"/>
                <w:szCs w:val="22"/>
              </w:rPr>
            </w:pPr>
          </w:p>
          <w:p w:rsidR="002B1928" w:rsidRPr="0034793F" w:rsidRDefault="002B1928" w:rsidP="00FF4328">
            <w:pPr>
              <w:rPr>
                <w:sz w:val="22"/>
                <w:szCs w:val="22"/>
              </w:rPr>
            </w:pPr>
            <w:r>
              <w:rPr>
                <w:sz w:val="22"/>
                <w:szCs w:val="22"/>
              </w:rPr>
              <w:t>A comparison of the different calculati</w:t>
            </w:r>
            <w:r w:rsidR="00FF4328">
              <w:rPr>
                <w:sz w:val="22"/>
                <w:szCs w:val="22"/>
              </w:rPr>
              <w:t>ons is available on the website in the Important Documents section:  Virginia Overtime Examples</w:t>
            </w:r>
          </w:p>
        </w:tc>
      </w:tr>
    </w:tbl>
    <w:p w:rsidR="00571933" w:rsidRDefault="00571933" w:rsidP="00571933">
      <w:pPr>
        <w:pStyle w:val="BlockLine"/>
        <w:ind w:left="1350"/>
        <w:rPr>
          <w:sz w:val="16"/>
          <w:szCs w:val="16"/>
        </w:rPr>
      </w:pPr>
    </w:p>
    <w:sectPr w:rsidR="00571933" w:rsidSect="007F2A60">
      <w:headerReference w:type="even" r:id="rId15"/>
      <w:headerReference w:type="default" r:id="rId16"/>
      <w:footerReference w:type="even" r:id="rId17"/>
      <w:footerReference w:type="default" r:id="rId18"/>
      <w:headerReference w:type="first" r:id="rId19"/>
      <w:footerReference w:type="first" r:id="rId20"/>
      <w:pgSz w:w="12240" w:h="15840" w:code="1"/>
      <w:pgMar w:top="810" w:right="720" w:bottom="90" w:left="720" w:header="270" w:footer="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9E" w:rsidRDefault="0034769E" w:rsidP="007C617C">
      <w:pPr>
        <w:pStyle w:val="TableText"/>
      </w:pPr>
      <w:r>
        <w:separator/>
      </w:r>
    </w:p>
  </w:endnote>
  <w:endnote w:type="continuationSeparator" w:id="0">
    <w:p w:rsidR="0034769E" w:rsidRDefault="0034769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A7" w:rsidRDefault="005C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5399852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E47DC" w:rsidRPr="005C2FA7" w:rsidRDefault="00AE47DC" w:rsidP="005C2FA7">
            <w:pPr>
              <w:pStyle w:val="BlockLine"/>
              <w:spacing w:before="120"/>
              <w:ind w:left="1354"/>
              <w:rPr>
                <w:sz w:val="16"/>
                <w:szCs w:val="16"/>
              </w:rPr>
            </w:pPr>
          </w:p>
          <w:p w:rsidR="00C9783C" w:rsidRPr="00D17F03" w:rsidRDefault="00337B08">
            <w:pPr>
              <w:pStyle w:val="Footer"/>
              <w:jc w:val="center"/>
              <w:rPr>
                <w:sz w:val="18"/>
                <w:szCs w:val="18"/>
              </w:rPr>
            </w:pPr>
            <w:r w:rsidRPr="00D17F03">
              <w:rPr>
                <w:sz w:val="18"/>
                <w:szCs w:val="18"/>
              </w:rPr>
              <w:t xml:space="preserve">Page </w:t>
            </w:r>
            <w:r w:rsidRPr="00D17F03">
              <w:rPr>
                <w:b/>
                <w:bCs/>
                <w:sz w:val="18"/>
                <w:szCs w:val="18"/>
              </w:rPr>
              <w:fldChar w:fldCharType="begin"/>
            </w:r>
            <w:r w:rsidRPr="00D17F03">
              <w:rPr>
                <w:b/>
                <w:bCs/>
                <w:sz w:val="18"/>
                <w:szCs w:val="18"/>
              </w:rPr>
              <w:instrText xml:space="preserve"> PAGE </w:instrText>
            </w:r>
            <w:r w:rsidRPr="00D17F03">
              <w:rPr>
                <w:b/>
                <w:bCs/>
                <w:sz w:val="18"/>
                <w:szCs w:val="18"/>
              </w:rPr>
              <w:fldChar w:fldCharType="separate"/>
            </w:r>
            <w:r w:rsidR="004D394A">
              <w:rPr>
                <w:b/>
                <w:bCs/>
                <w:noProof/>
                <w:sz w:val="18"/>
                <w:szCs w:val="18"/>
              </w:rPr>
              <w:t>3</w:t>
            </w:r>
            <w:r w:rsidRPr="00D17F03">
              <w:rPr>
                <w:b/>
                <w:bCs/>
                <w:sz w:val="18"/>
                <w:szCs w:val="18"/>
              </w:rPr>
              <w:fldChar w:fldCharType="end"/>
            </w:r>
            <w:r w:rsidRPr="00D17F03">
              <w:rPr>
                <w:sz w:val="18"/>
                <w:szCs w:val="18"/>
              </w:rPr>
              <w:t xml:space="preserve"> of </w:t>
            </w:r>
            <w:r w:rsidRPr="00D17F03">
              <w:rPr>
                <w:b/>
                <w:bCs/>
                <w:sz w:val="18"/>
                <w:szCs w:val="18"/>
              </w:rPr>
              <w:fldChar w:fldCharType="begin"/>
            </w:r>
            <w:r w:rsidRPr="00D17F03">
              <w:rPr>
                <w:b/>
                <w:bCs/>
                <w:sz w:val="18"/>
                <w:szCs w:val="18"/>
              </w:rPr>
              <w:instrText xml:space="preserve"> NUMPAGES  </w:instrText>
            </w:r>
            <w:r w:rsidRPr="00D17F03">
              <w:rPr>
                <w:b/>
                <w:bCs/>
                <w:sz w:val="18"/>
                <w:szCs w:val="18"/>
              </w:rPr>
              <w:fldChar w:fldCharType="separate"/>
            </w:r>
            <w:r w:rsidR="004D394A">
              <w:rPr>
                <w:b/>
                <w:bCs/>
                <w:noProof/>
                <w:sz w:val="18"/>
                <w:szCs w:val="18"/>
              </w:rPr>
              <w:t>3</w:t>
            </w:r>
            <w:r w:rsidRPr="00D17F03">
              <w:rPr>
                <w:b/>
                <w:bCs/>
                <w:sz w:val="18"/>
                <w:szCs w:val="18"/>
              </w:rPr>
              <w:fldChar w:fldCharType="end"/>
            </w:r>
          </w:p>
        </w:sdtContent>
      </w:sdt>
    </w:sdtContent>
  </w:sdt>
  <w:p w:rsidR="003254B7" w:rsidRPr="00D17F03" w:rsidRDefault="00C9783C" w:rsidP="003867CF">
    <w:pPr>
      <w:pStyle w:val="Footer"/>
      <w:jc w:val="center"/>
      <w:rPr>
        <w:sz w:val="18"/>
        <w:szCs w:val="18"/>
      </w:rPr>
    </w:pPr>
    <w:r w:rsidRPr="00D17F03">
      <w:rPr>
        <w:sz w:val="18"/>
        <w:szCs w:val="18"/>
      </w:rPr>
      <w:t xml:space="preserve"> https://www.doa.virginia.gov/reference/payroll/bulletins.shtml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A7" w:rsidRDefault="005C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9E" w:rsidRDefault="0034769E" w:rsidP="007C617C">
      <w:pPr>
        <w:pStyle w:val="TableText"/>
      </w:pPr>
      <w:r>
        <w:separator/>
      </w:r>
    </w:p>
  </w:footnote>
  <w:footnote w:type="continuationSeparator" w:id="0">
    <w:p w:rsidR="0034769E" w:rsidRDefault="0034769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A7" w:rsidRDefault="005C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EF55FE">
      <w:trPr>
        <w:cantSplit/>
        <w:trHeight w:val="90"/>
      </w:trPr>
      <w:tc>
        <w:tcPr>
          <w:tcW w:w="3366" w:type="dxa"/>
          <w:tcBorders>
            <w:bottom w:val="double" w:sz="6" w:space="0" w:color="auto"/>
          </w:tcBorders>
        </w:tcPr>
        <w:p w:rsidR="00831F10" w:rsidRDefault="006E3480" w:rsidP="006275EB">
          <w:pPr>
            <w:pStyle w:val="Header"/>
            <w:rPr>
              <w:b/>
              <w:sz w:val="20"/>
            </w:rPr>
          </w:pPr>
          <w:r>
            <w:rPr>
              <w:b/>
            </w:rPr>
            <w:t xml:space="preserve"> </w:t>
          </w:r>
          <w:r w:rsidR="00831F10">
            <w:rPr>
              <w:b/>
              <w:sz w:val="20"/>
            </w:rPr>
            <w:t>Calendar Year 202</w:t>
          </w:r>
          <w:r w:rsidR="006275EB">
            <w:rPr>
              <w:b/>
              <w:sz w:val="20"/>
            </w:rPr>
            <w:t>1</w:t>
          </w:r>
        </w:p>
      </w:tc>
      <w:tc>
        <w:tcPr>
          <w:tcW w:w="3366" w:type="dxa"/>
          <w:tcBorders>
            <w:bottom w:val="double" w:sz="6" w:space="0" w:color="auto"/>
          </w:tcBorders>
        </w:tcPr>
        <w:p w:rsidR="00831F10" w:rsidRDefault="005066FC" w:rsidP="00160842">
          <w:pPr>
            <w:pStyle w:val="Header"/>
            <w:jc w:val="center"/>
            <w:rPr>
              <w:b/>
              <w:sz w:val="20"/>
            </w:rPr>
          </w:pPr>
          <w:r>
            <w:rPr>
              <w:b/>
              <w:sz w:val="20"/>
            </w:rPr>
            <w:t xml:space="preserve">June </w:t>
          </w:r>
          <w:r w:rsidR="00160842">
            <w:rPr>
              <w:b/>
              <w:sz w:val="20"/>
            </w:rPr>
            <w:t xml:space="preserve">14, </w:t>
          </w:r>
          <w:r w:rsidR="006275EB">
            <w:rPr>
              <w:b/>
              <w:sz w:val="20"/>
            </w:rPr>
            <w:t>2021</w:t>
          </w:r>
        </w:p>
      </w:tc>
      <w:tc>
        <w:tcPr>
          <w:tcW w:w="4068" w:type="dxa"/>
          <w:tcBorders>
            <w:bottom w:val="double" w:sz="6" w:space="0" w:color="auto"/>
          </w:tcBorders>
        </w:tcPr>
        <w:p w:rsidR="00831F10" w:rsidRDefault="00831F10" w:rsidP="00160842">
          <w:pPr>
            <w:pStyle w:val="Header"/>
            <w:jc w:val="right"/>
            <w:rPr>
              <w:b/>
              <w:sz w:val="20"/>
            </w:rPr>
          </w:pPr>
          <w:r>
            <w:rPr>
              <w:b/>
              <w:sz w:val="20"/>
            </w:rPr>
            <w:t>V</w:t>
          </w:r>
          <w:r w:rsidR="008A42C1">
            <w:rPr>
              <w:b/>
              <w:sz w:val="20"/>
            </w:rPr>
            <w:t>olume #2021</w:t>
          </w:r>
          <w:r>
            <w:rPr>
              <w:b/>
              <w:sz w:val="20"/>
            </w:rPr>
            <w:t>-</w:t>
          </w:r>
          <w:r w:rsidR="008A42C1">
            <w:rPr>
              <w:b/>
              <w:sz w:val="20"/>
            </w:rPr>
            <w:t>0</w:t>
          </w:r>
          <w:r w:rsidR="00160842">
            <w:rPr>
              <w:b/>
              <w:sz w:val="20"/>
            </w:rPr>
            <w:t>6</w:t>
          </w:r>
        </w:p>
      </w:tc>
    </w:tr>
  </w:tbl>
  <w:p w:rsidR="003254B7" w:rsidRDefault="003254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A7" w:rsidRDefault="005C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1C3ABF"/>
    <w:multiLevelType w:val="multilevel"/>
    <w:tmpl w:val="F454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E5019"/>
    <w:multiLevelType w:val="hybridMultilevel"/>
    <w:tmpl w:val="9F5C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F561D"/>
    <w:multiLevelType w:val="multilevel"/>
    <w:tmpl w:val="B120C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241D3"/>
    <w:multiLevelType w:val="multilevel"/>
    <w:tmpl w:val="DFFA3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9"/>
  </w:num>
  <w:num w:numId="4">
    <w:abstractNumId w:val="7"/>
  </w:num>
  <w:num w:numId="5">
    <w:abstractNumId w:val="8"/>
  </w:num>
  <w:num w:numId="6">
    <w:abstractNumId w:val="1"/>
  </w:num>
  <w:num w:numId="7">
    <w:abstractNumId w:val="27"/>
  </w:num>
  <w:num w:numId="8">
    <w:abstractNumId w:val="16"/>
  </w:num>
  <w:num w:numId="9">
    <w:abstractNumId w:val="11"/>
  </w:num>
  <w:num w:numId="10">
    <w:abstractNumId w:val="13"/>
  </w:num>
  <w:num w:numId="11">
    <w:abstractNumId w:val="9"/>
  </w:num>
  <w:num w:numId="12">
    <w:abstractNumId w:val="17"/>
  </w:num>
  <w:num w:numId="13">
    <w:abstractNumId w:val="15"/>
  </w:num>
  <w:num w:numId="14">
    <w:abstractNumId w:val="14"/>
  </w:num>
  <w:num w:numId="15">
    <w:abstractNumId w:val="10"/>
  </w:num>
  <w:num w:numId="16">
    <w:abstractNumId w:val="3"/>
  </w:num>
  <w:num w:numId="17">
    <w:abstractNumId w:val="26"/>
  </w:num>
  <w:num w:numId="18">
    <w:abstractNumId w:val="25"/>
  </w:num>
  <w:num w:numId="19">
    <w:abstractNumId w:val="12"/>
  </w:num>
  <w:num w:numId="20">
    <w:abstractNumId w:val="6"/>
  </w:num>
  <w:num w:numId="21">
    <w:abstractNumId w:val="0"/>
  </w:num>
  <w:num w:numId="22">
    <w:abstractNumId w:val="29"/>
  </w:num>
  <w:num w:numId="23">
    <w:abstractNumId w:val="28"/>
  </w:num>
  <w:num w:numId="24">
    <w:abstractNumId w:val="23"/>
  </w:num>
  <w:num w:numId="25">
    <w:abstractNumId w:val="21"/>
  </w:num>
  <w:num w:numId="26">
    <w:abstractNumId w:val="24"/>
  </w:num>
  <w:num w:numId="27">
    <w:abstractNumId w:val="18"/>
  </w:num>
  <w:num w:numId="28">
    <w:abstractNumId w:val="13"/>
  </w:num>
  <w:num w:numId="29">
    <w:abstractNumId w:val="5"/>
  </w:num>
  <w:num w:numId="30">
    <w:abstractNumId w:val="22"/>
  </w:num>
  <w:num w:numId="31">
    <w:abstractNumId w:val="4"/>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244"/>
    <w:rsid w:val="00000AC6"/>
    <w:rsid w:val="00001CE4"/>
    <w:rsid w:val="0000246D"/>
    <w:rsid w:val="00003B77"/>
    <w:rsid w:val="00004752"/>
    <w:rsid w:val="00004CD3"/>
    <w:rsid w:val="00004DB9"/>
    <w:rsid w:val="0000504A"/>
    <w:rsid w:val="000058C8"/>
    <w:rsid w:val="00005928"/>
    <w:rsid w:val="000061FB"/>
    <w:rsid w:val="000121C0"/>
    <w:rsid w:val="00013967"/>
    <w:rsid w:val="00014576"/>
    <w:rsid w:val="00016EE3"/>
    <w:rsid w:val="0001760B"/>
    <w:rsid w:val="000239B8"/>
    <w:rsid w:val="00023C30"/>
    <w:rsid w:val="00025B28"/>
    <w:rsid w:val="00025C86"/>
    <w:rsid w:val="00031A8E"/>
    <w:rsid w:val="00031C2F"/>
    <w:rsid w:val="000325BD"/>
    <w:rsid w:val="00034850"/>
    <w:rsid w:val="00034A69"/>
    <w:rsid w:val="00034ABB"/>
    <w:rsid w:val="00034BD0"/>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1D32"/>
    <w:rsid w:val="00062288"/>
    <w:rsid w:val="00062671"/>
    <w:rsid w:val="00066D83"/>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5683"/>
    <w:rsid w:val="000977CF"/>
    <w:rsid w:val="00097DFB"/>
    <w:rsid w:val="000A0682"/>
    <w:rsid w:val="000A0FBC"/>
    <w:rsid w:val="000A1B5C"/>
    <w:rsid w:val="000A32EE"/>
    <w:rsid w:val="000A5D83"/>
    <w:rsid w:val="000A7A20"/>
    <w:rsid w:val="000B0BE5"/>
    <w:rsid w:val="000B3222"/>
    <w:rsid w:val="000B3A75"/>
    <w:rsid w:val="000B46F3"/>
    <w:rsid w:val="000B598B"/>
    <w:rsid w:val="000B6B5B"/>
    <w:rsid w:val="000B7BE3"/>
    <w:rsid w:val="000C1F8F"/>
    <w:rsid w:val="000C2566"/>
    <w:rsid w:val="000C44E0"/>
    <w:rsid w:val="000C62B0"/>
    <w:rsid w:val="000C67E6"/>
    <w:rsid w:val="000C6E4C"/>
    <w:rsid w:val="000C7D97"/>
    <w:rsid w:val="000D0685"/>
    <w:rsid w:val="000D2A08"/>
    <w:rsid w:val="000D2CE5"/>
    <w:rsid w:val="000D3410"/>
    <w:rsid w:val="000D3694"/>
    <w:rsid w:val="000D41FC"/>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18A8"/>
    <w:rsid w:val="000F22DC"/>
    <w:rsid w:val="000F3786"/>
    <w:rsid w:val="000F3E48"/>
    <w:rsid w:val="000F6A8F"/>
    <w:rsid w:val="000F70C0"/>
    <w:rsid w:val="000F7EA6"/>
    <w:rsid w:val="00100187"/>
    <w:rsid w:val="00100D13"/>
    <w:rsid w:val="00101FEF"/>
    <w:rsid w:val="00106069"/>
    <w:rsid w:val="00106A6E"/>
    <w:rsid w:val="00107D4C"/>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7A9"/>
    <w:rsid w:val="00151D7E"/>
    <w:rsid w:val="001522AD"/>
    <w:rsid w:val="001524A6"/>
    <w:rsid w:val="001532E5"/>
    <w:rsid w:val="00155D8D"/>
    <w:rsid w:val="00160842"/>
    <w:rsid w:val="0016085E"/>
    <w:rsid w:val="00160C93"/>
    <w:rsid w:val="00161FFB"/>
    <w:rsid w:val="00162130"/>
    <w:rsid w:val="0016577E"/>
    <w:rsid w:val="00166056"/>
    <w:rsid w:val="001661AD"/>
    <w:rsid w:val="001671C7"/>
    <w:rsid w:val="001676C9"/>
    <w:rsid w:val="001711AD"/>
    <w:rsid w:val="00172BF3"/>
    <w:rsid w:val="00173C76"/>
    <w:rsid w:val="00173D28"/>
    <w:rsid w:val="001758B4"/>
    <w:rsid w:val="00176842"/>
    <w:rsid w:val="00176D70"/>
    <w:rsid w:val="00177CAF"/>
    <w:rsid w:val="00180B5E"/>
    <w:rsid w:val="00184D97"/>
    <w:rsid w:val="00185EFE"/>
    <w:rsid w:val="0018670A"/>
    <w:rsid w:val="0018733A"/>
    <w:rsid w:val="0018772E"/>
    <w:rsid w:val="0019228A"/>
    <w:rsid w:val="001924FC"/>
    <w:rsid w:val="00193B82"/>
    <w:rsid w:val="00196BB8"/>
    <w:rsid w:val="0019734E"/>
    <w:rsid w:val="001976CC"/>
    <w:rsid w:val="001A0BC9"/>
    <w:rsid w:val="001A2A78"/>
    <w:rsid w:val="001A2D30"/>
    <w:rsid w:val="001A6716"/>
    <w:rsid w:val="001A725B"/>
    <w:rsid w:val="001A76FB"/>
    <w:rsid w:val="001A7D72"/>
    <w:rsid w:val="001B04E9"/>
    <w:rsid w:val="001B0AF4"/>
    <w:rsid w:val="001B1855"/>
    <w:rsid w:val="001B3A21"/>
    <w:rsid w:val="001B4163"/>
    <w:rsid w:val="001B658E"/>
    <w:rsid w:val="001B691C"/>
    <w:rsid w:val="001C228D"/>
    <w:rsid w:val="001C30AB"/>
    <w:rsid w:val="001C5105"/>
    <w:rsid w:val="001C5E8D"/>
    <w:rsid w:val="001D0C3A"/>
    <w:rsid w:val="001D13F4"/>
    <w:rsid w:val="001D1433"/>
    <w:rsid w:val="001D2858"/>
    <w:rsid w:val="001D3036"/>
    <w:rsid w:val="001D3859"/>
    <w:rsid w:val="001D4288"/>
    <w:rsid w:val="001D5A8E"/>
    <w:rsid w:val="001D5D8F"/>
    <w:rsid w:val="001E0DC0"/>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027"/>
    <w:rsid w:val="00254854"/>
    <w:rsid w:val="00255FBC"/>
    <w:rsid w:val="002561AC"/>
    <w:rsid w:val="00257538"/>
    <w:rsid w:val="002616D8"/>
    <w:rsid w:val="00262261"/>
    <w:rsid w:val="002622A3"/>
    <w:rsid w:val="00265865"/>
    <w:rsid w:val="002677C1"/>
    <w:rsid w:val="00267C84"/>
    <w:rsid w:val="002710D8"/>
    <w:rsid w:val="00271AC6"/>
    <w:rsid w:val="0027216E"/>
    <w:rsid w:val="00272510"/>
    <w:rsid w:val="00273430"/>
    <w:rsid w:val="00273895"/>
    <w:rsid w:val="002745C9"/>
    <w:rsid w:val="0027609E"/>
    <w:rsid w:val="00276909"/>
    <w:rsid w:val="00277585"/>
    <w:rsid w:val="002775F4"/>
    <w:rsid w:val="00277C35"/>
    <w:rsid w:val="002801C0"/>
    <w:rsid w:val="00280263"/>
    <w:rsid w:val="00280AA4"/>
    <w:rsid w:val="00281AA4"/>
    <w:rsid w:val="00282F2D"/>
    <w:rsid w:val="00287D81"/>
    <w:rsid w:val="002900DF"/>
    <w:rsid w:val="00290BF1"/>
    <w:rsid w:val="00292B58"/>
    <w:rsid w:val="00293BAE"/>
    <w:rsid w:val="00295C93"/>
    <w:rsid w:val="00295E33"/>
    <w:rsid w:val="00297780"/>
    <w:rsid w:val="002A016C"/>
    <w:rsid w:val="002A090F"/>
    <w:rsid w:val="002A0CC0"/>
    <w:rsid w:val="002A0F8D"/>
    <w:rsid w:val="002A10CC"/>
    <w:rsid w:val="002A1664"/>
    <w:rsid w:val="002A33FC"/>
    <w:rsid w:val="002A6633"/>
    <w:rsid w:val="002A6806"/>
    <w:rsid w:val="002A6A1B"/>
    <w:rsid w:val="002A7BA8"/>
    <w:rsid w:val="002B192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15F"/>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07E70"/>
    <w:rsid w:val="00311FC4"/>
    <w:rsid w:val="00312A65"/>
    <w:rsid w:val="00314FC9"/>
    <w:rsid w:val="003164E9"/>
    <w:rsid w:val="0031789D"/>
    <w:rsid w:val="003202A7"/>
    <w:rsid w:val="003208FE"/>
    <w:rsid w:val="00321845"/>
    <w:rsid w:val="0032216D"/>
    <w:rsid w:val="0032418A"/>
    <w:rsid w:val="003254B7"/>
    <w:rsid w:val="00325E3A"/>
    <w:rsid w:val="00327E7B"/>
    <w:rsid w:val="003306BE"/>
    <w:rsid w:val="0033082C"/>
    <w:rsid w:val="00332AC2"/>
    <w:rsid w:val="00332BF7"/>
    <w:rsid w:val="003340ED"/>
    <w:rsid w:val="00334794"/>
    <w:rsid w:val="00334BAB"/>
    <w:rsid w:val="00334F86"/>
    <w:rsid w:val="00335537"/>
    <w:rsid w:val="003362EF"/>
    <w:rsid w:val="0033675A"/>
    <w:rsid w:val="00337B08"/>
    <w:rsid w:val="00340071"/>
    <w:rsid w:val="00342463"/>
    <w:rsid w:val="0034380B"/>
    <w:rsid w:val="00344704"/>
    <w:rsid w:val="00345E48"/>
    <w:rsid w:val="00346282"/>
    <w:rsid w:val="0034769E"/>
    <w:rsid w:val="0034793F"/>
    <w:rsid w:val="00350F3F"/>
    <w:rsid w:val="00351845"/>
    <w:rsid w:val="0035312D"/>
    <w:rsid w:val="0035352F"/>
    <w:rsid w:val="00353733"/>
    <w:rsid w:val="00353940"/>
    <w:rsid w:val="003541FF"/>
    <w:rsid w:val="00354876"/>
    <w:rsid w:val="00355095"/>
    <w:rsid w:val="00356C3A"/>
    <w:rsid w:val="00357860"/>
    <w:rsid w:val="00357BF7"/>
    <w:rsid w:val="00357C6E"/>
    <w:rsid w:val="0036368B"/>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3869"/>
    <w:rsid w:val="0038460C"/>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7164"/>
    <w:rsid w:val="003B75D4"/>
    <w:rsid w:val="003C08CA"/>
    <w:rsid w:val="003C1B66"/>
    <w:rsid w:val="003C1BF0"/>
    <w:rsid w:val="003C22B0"/>
    <w:rsid w:val="003C34BC"/>
    <w:rsid w:val="003C5048"/>
    <w:rsid w:val="003C6D56"/>
    <w:rsid w:val="003C7961"/>
    <w:rsid w:val="003D3EB3"/>
    <w:rsid w:val="003D3F81"/>
    <w:rsid w:val="003D4668"/>
    <w:rsid w:val="003D5FB0"/>
    <w:rsid w:val="003D7282"/>
    <w:rsid w:val="003D740C"/>
    <w:rsid w:val="003E0603"/>
    <w:rsid w:val="003E08C8"/>
    <w:rsid w:val="003E2BA4"/>
    <w:rsid w:val="003E357D"/>
    <w:rsid w:val="003E3B5C"/>
    <w:rsid w:val="003E4335"/>
    <w:rsid w:val="003E4762"/>
    <w:rsid w:val="003E607D"/>
    <w:rsid w:val="003F30F6"/>
    <w:rsid w:val="003F3609"/>
    <w:rsid w:val="003F37F4"/>
    <w:rsid w:val="003F3E5E"/>
    <w:rsid w:val="003F58CD"/>
    <w:rsid w:val="003F7B3A"/>
    <w:rsid w:val="003F7B8D"/>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5FDC"/>
    <w:rsid w:val="00436684"/>
    <w:rsid w:val="00437FBD"/>
    <w:rsid w:val="00440AC8"/>
    <w:rsid w:val="00441013"/>
    <w:rsid w:val="004431D0"/>
    <w:rsid w:val="0044450F"/>
    <w:rsid w:val="00444845"/>
    <w:rsid w:val="00444E1F"/>
    <w:rsid w:val="00447CB7"/>
    <w:rsid w:val="004502A6"/>
    <w:rsid w:val="004507EB"/>
    <w:rsid w:val="00451AFF"/>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86E67"/>
    <w:rsid w:val="00491483"/>
    <w:rsid w:val="00491932"/>
    <w:rsid w:val="00493E53"/>
    <w:rsid w:val="00494B81"/>
    <w:rsid w:val="0049515A"/>
    <w:rsid w:val="004A167B"/>
    <w:rsid w:val="004A17C0"/>
    <w:rsid w:val="004A669F"/>
    <w:rsid w:val="004A7237"/>
    <w:rsid w:val="004A7D32"/>
    <w:rsid w:val="004B33D9"/>
    <w:rsid w:val="004B44C6"/>
    <w:rsid w:val="004B4F4D"/>
    <w:rsid w:val="004C1AE8"/>
    <w:rsid w:val="004C5133"/>
    <w:rsid w:val="004C7604"/>
    <w:rsid w:val="004D0CDD"/>
    <w:rsid w:val="004D29A5"/>
    <w:rsid w:val="004D394A"/>
    <w:rsid w:val="004D6397"/>
    <w:rsid w:val="004D68BA"/>
    <w:rsid w:val="004D6951"/>
    <w:rsid w:val="004E2C96"/>
    <w:rsid w:val="004E314A"/>
    <w:rsid w:val="004E36C1"/>
    <w:rsid w:val="004E37AB"/>
    <w:rsid w:val="004E43BA"/>
    <w:rsid w:val="004E4FEE"/>
    <w:rsid w:val="004E5717"/>
    <w:rsid w:val="004E57AC"/>
    <w:rsid w:val="004E5D33"/>
    <w:rsid w:val="004E5DF0"/>
    <w:rsid w:val="004E5E88"/>
    <w:rsid w:val="004E5FDF"/>
    <w:rsid w:val="004E6652"/>
    <w:rsid w:val="004E7249"/>
    <w:rsid w:val="004E7755"/>
    <w:rsid w:val="004F0178"/>
    <w:rsid w:val="004F42C7"/>
    <w:rsid w:val="004F4715"/>
    <w:rsid w:val="004F6A77"/>
    <w:rsid w:val="00500136"/>
    <w:rsid w:val="00501D8D"/>
    <w:rsid w:val="00502122"/>
    <w:rsid w:val="00503D2E"/>
    <w:rsid w:val="00503F5C"/>
    <w:rsid w:val="005057BF"/>
    <w:rsid w:val="00505935"/>
    <w:rsid w:val="00505D2B"/>
    <w:rsid w:val="00505F15"/>
    <w:rsid w:val="005066FC"/>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56E5E"/>
    <w:rsid w:val="005609A2"/>
    <w:rsid w:val="005618BB"/>
    <w:rsid w:val="00562FB1"/>
    <w:rsid w:val="00563716"/>
    <w:rsid w:val="005651F4"/>
    <w:rsid w:val="005654ED"/>
    <w:rsid w:val="00565D55"/>
    <w:rsid w:val="00566BC7"/>
    <w:rsid w:val="005712AB"/>
    <w:rsid w:val="00571933"/>
    <w:rsid w:val="00573CEC"/>
    <w:rsid w:val="00574373"/>
    <w:rsid w:val="0057590B"/>
    <w:rsid w:val="00575B68"/>
    <w:rsid w:val="00575E04"/>
    <w:rsid w:val="005762DB"/>
    <w:rsid w:val="005770A7"/>
    <w:rsid w:val="00577D17"/>
    <w:rsid w:val="00580D09"/>
    <w:rsid w:val="00580D3C"/>
    <w:rsid w:val="00583B6D"/>
    <w:rsid w:val="00590A83"/>
    <w:rsid w:val="005926A0"/>
    <w:rsid w:val="00593095"/>
    <w:rsid w:val="00595E6E"/>
    <w:rsid w:val="00597291"/>
    <w:rsid w:val="005A31F9"/>
    <w:rsid w:val="005A53B4"/>
    <w:rsid w:val="005A5737"/>
    <w:rsid w:val="005A5C78"/>
    <w:rsid w:val="005A74D1"/>
    <w:rsid w:val="005A7EB5"/>
    <w:rsid w:val="005B0990"/>
    <w:rsid w:val="005B12C9"/>
    <w:rsid w:val="005B32A1"/>
    <w:rsid w:val="005B3329"/>
    <w:rsid w:val="005B3763"/>
    <w:rsid w:val="005B3EB2"/>
    <w:rsid w:val="005B3EBA"/>
    <w:rsid w:val="005B416D"/>
    <w:rsid w:val="005B451F"/>
    <w:rsid w:val="005B7CA3"/>
    <w:rsid w:val="005C0228"/>
    <w:rsid w:val="005C02FF"/>
    <w:rsid w:val="005C0B35"/>
    <w:rsid w:val="005C0B48"/>
    <w:rsid w:val="005C1047"/>
    <w:rsid w:val="005C2EFD"/>
    <w:rsid w:val="005C2FA7"/>
    <w:rsid w:val="005C324A"/>
    <w:rsid w:val="005C3505"/>
    <w:rsid w:val="005C4C76"/>
    <w:rsid w:val="005C64CB"/>
    <w:rsid w:val="005C78BA"/>
    <w:rsid w:val="005D0E9B"/>
    <w:rsid w:val="005D1C79"/>
    <w:rsid w:val="005D1D71"/>
    <w:rsid w:val="005D1E5C"/>
    <w:rsid w:val="005D35F3"/>
    <w:rsid w:val="005D3B09"/>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67F"/>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3B6B"/>
    <w:rsid w:val="0062526D"/>
    <w:rsid w:val="006252C7"/>
    <w:rsid w:val="006275EB"/>
    <w:rsid w:val="00633972"/>
    <w:rsid w:val="006342F2"/>
    <w:rsid w:val="00634F44"/>
    <w:rsid w:val="006352A6"/>
    <w:rsid w:val="00635C5F"/>
    <w:rsid w:val="00636EB9"/>
    <w:rsid w:val="00640176"/>
    <w:rsid w:val="00641256"/>
    <w:rsid w:val="0064216F"/>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77886"/>
    <w:rsid w:val="006816EC"/>
    <w:rsid w:val="00682532"/>
    <w:rsid w:val="00683D99"/>
    <w:rsid w:val="006846BD"/>
    <w:rsid w:val="006847F2"/>
    <w:rsid w:val="0068517E"/>
    <w:rsid w:val="00685BF5"/>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539"/>
    <w:rsid w:val="006F3BA8"/>
    <w:rsid w:val="006F4320"/>
    <w:rsid w:val="006F529D"/>
    <w:rsid w:val="006F5686"/>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2FB9"/>
    <w:rsid w:val="007430E8"/>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4D01"/>
    <w:rsid w:val="00776E78"/>
    <w:rsid w:val="00780A2B"/>
    <w:rsid w:val="00781E1F"/>
    <w:rsid w:val="007829DF"/>
    <w:rsid w:val="00782A69"/>
    <w:rsid w:val="00783468"/>
    <w:rsid w:val="00785536"/>
    <w:rsid w:val="007855C5"/>
    <w:rsid w:val="00791D2A"/>
    <w:rsid w:val="00793CA3"/>
    <w:rsid w:val="00794A67"/>
    <w:rsid w:val="00796B08"/>
    <w:rsid w:val="00796F35"/>
    <w:rsid w:val="0079793D"/>
    <w:rsid w:val="007A0129"/>
    <w:rsid w:val="007A1AAF"/>
    <w:rsid w:val="007A2EC0"/>
    <w:rsid w:val="007A3641"/>
    <w:rsid w:val="007A3796"/>
    <w:rsid w:val="007A5ADF"/>
    <w:rsid w:val="007A7707"/>
    <w:rsid w:val="007A77D7"/>
    <w:rsid w:val="007B5728"/>
    <w:rsid w:val="007B66D2"/>
    <w:rsid w:val="007C0990"/>
    <w:rsid w:val="007C1459"/>
    <w:rsid w:val="007C19CD"/>
    <w:rsid w:val="007C4773"/>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E77FB"/>
    <w:rsid w:val="007F0122"/>
    <w:rsid w:val="007F01E6"/>
    <w:rsid w:val="007F03A7"/>
    <w:rsid w:val="007F058E"/>
    <w:rsid w:val="007F13B7"/>
    <w:rsid w:val="007F2A60"/>
    <w:rsid w:val="007F391B"/>
    <w:rsid w:val="007F4407"/>
    <w:rsid w:val="007F4471"/>
    <w:rsid w:val="007F48CC"/>
    <w:rsid w:val="00801CBC"/>
    <w:rsid w:val="008021E4"/>
    <w:rsid w:val="0080250B"/>
    <w:rsid w:val="00805C6E"/>
    <w:rsid w:val="008065B7"/>
    <w:rsid w:val="00806D01"/>
    <w:rsid w:val="00807277"/>
    <w:rsid w:val="00810C6B"/>
    <w:rsid w:val="00810C80"/>
    <w:rsid w:val="00811D1B"/>
    <w:rsid w:val="0081206A"/>
    <w:rsid w:val="0081218F"/>
    <w:rsid w:val="0081377B"/>
    <w:rsid w:val="00814E56"/>
    <w:rsid w:val="00815436"/>
    <w:rsid w:val="0081583A"/>
    <w:rsid w:val="00815B19"/>
    <w:rsid w:val="00816153"/>
    <w:rsid w:val="00816FA7"/>
    <w:rsid w:val="008171AE"/>
    <w:rsid w:val="00817713"/>
    <w:rsid w:val="00817D0C"/>
    <w:rsid w:val="00820382"/>
    <w:rsid w:val="00820DE9"/>
    <w:rsid w:val="0082456A"/>
    <w:rsid w:val="00824D78"/>
    <w:rsid w:val="00825228"/>
    <w:rsid w:val="008255AC"/>
    <w:rsid w:val="008261C2"/>
    <w:rsid w:val="00826CA5"/>
    <w:rsid w:val="00826E36"/>
    <w:rsid w:val="008277FD"/>
    <w:rsid w:val="00827EFE"/>
    <w:rsid w:val="00831F10"/>
    <w:rsid w:val="0083216F"/>
    <w:rsid w:val="0083419B"/>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25C5"/>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2C1"/>
    <w:rsid w:val="008A4B56"/>
    <w:rsid w:val="008A502A"/>
    <w:rsid w:val="008A509D"/>
    <w:rsid w:val="008A5BDA"/>
    <w:rsid w:val="008A6934"/>
    <w:rsid w:val="008A7B2F"/>
    <w:rsid w:val="008B20C6"/>
    <w:rsid w:val="008B53F1"/>
    <w:rsid w:val="008B569E"/>
    <w:rsid w:val="008B5C97"/>
    <w:rsid w:val="008C0449"/>
    <w:rsid w:val="008C0863"/>
    <w:rsid w:val="008C1349"/>
    <w:rsid w:val="008C245B"/>
    <w:rsid w:val="008C5F72"/>
    <w:rsid w:val="008C63E5"/>
    <w:rsid w:val="008D07C3"/>
    <w:rsid w:val="008D191E"/>
    <w:rsid w:val="008D236F"/>
    <w:rsid w:val="008D2E56"/>
    <w:rsid w:val="008D3353"/>
    <w:rsid w:val="008D5557"/>
    <w:rsid w:val="008D57D8"/>
    <w:rsid w:val="008D5883"/>
    <w:rsid w:val="008E000B"/>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5918"/>
    <w:rsid w:val="0090592C"/>
    <w:rsid w:val="00905BF7"/>
    <w:rsid w:val="00907446"/>
    <w:rsid w:val="009100B2"/>
    <w:rsid w:val="00911BBB"/>
    <w:rsid w:val="00913377"/>
    <w:rsid w:val="00913F7A"/>
    <w:rsid w:val="009162DE"/>
    <w:rsid w:val="00917165"/>
    <w:rsid w:val="0092007C"/>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17DB"/>
    <w:rsid w:val="00952570"/>
    <w:rsid w:val="00954577"/>
    <w:rsid w:val="009546F8"/>
    <w:rsid w:val="00955B42"/>
    <w:rsid w:val="009560E1"/>
    <w:rsid w:val="00957DBB"/>
    <w:rsid w:val="009628D1"/>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1C94"/>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3F9B"/>
    <w:rsid w:val="009C511D"/>
    <w:rsid w:val="009C5BD6"/>
    <w:rsid w:val="009C6189"/>
    <w:rsid w:val="009D067B"/>
    <w:rsid w:val="009D43B0"/>
    <w:rsid w:val="009E18AF"/>
    <w:rsid w:val="009E18D8"/>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195F"/>
    <w:rsid w:val="00A329F8"/>
    <w:rsid w:val="00A360A2"/>
    <w:rsid w:val="00A36793"/>
    <w:rsid w:val="00A37D19"/>
    <w:rsid w:val="00A40991"/>
    <w:rsid w:val="00A40BC9"/>
    <w:rsid w:val="00A410AD"/>
    <w:rsid w:val="00A42936"/>
    <w:rsid w:val="00A43FE9"/>
    <w:rsid w:val="00A45ACC"/>
    <w:rsid w:val="00A45FFF"/>
    <w:rsid w:val="00A473AE"/>
    <w:rsid w:val="00A50E93"/>
    <w:rsid w:val="00A50F05"/>
    <w:rsid w:val="00A55010"/>
    <w:rsid w:val="00A606DF"/>
    <w:rsid w:val="00A60A4C"/>
    <w:rsid w:val="00A611AF"/>
    <w:rsid w:val="00A61C23"/>
    <w:rsid w:val="00A620D9"/>
    <w:rsid w:val="00A63189"/>
    <w:rsid w:val="00A644DD"/>
    <w:rsid w:val="00A6591D"/>
    <w:rsid w:val="00A71230"/>
    <w:rsid w:val="00A71DAA"/>
    <w:rsid w:val="00A72BB2"/>
    <w:rsid w:val="00A74694"/>
    <w:rsid w:val="00A75280"/>
    <w:rsid w:val="00A75551"/>
    <w:rsid w:val="00A766E2"/>
    <w:rsid w:val="00A7713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41D"/>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8B7"/>
    <w:rsid w:val="00B01ABD"/>
    <w:rsid w:val="00B02B91"/>
    <w:rsid w:val="00B03013"/>
    <w:rsid w:val="00B0777C"/>
    <w:rsid w:val="00B07ADF"/>
    <w:rsid w:val="00B07B7B"/>
    <w:rsid w:val="00B156CE"/>
    <w:rsid w:val="00B15D97"/>
    <w:rsid w:val="00B15E37"/>
    <w:rsid w:val="00B20032"/>
    <w:rsid w:val="00B21912"/>
    <w:rsid w:val="00B21936"/>
    <w:rsid w:val="00B23F08"/>
    <w:rsid w:val="00B24E22"/>
    <w:rsid w:val="00B254DD"/>
    <w:rsid w:val="00B25C10"/>
    <w:rsid w:val="00B30BF1"/>
    <w:rsid w:val="00B30D71"/>
    <w:rsid w:val="00B30F94"/>
    <w:rsid w:val="00B31359"/>
    <w:rsid w:val="00B313BE"/>
    <w:rsid w:val="00B336E1"/>
    <w:rsid w:val="00B3437E"/>
    <w:rsid w:val="00B35C9C"/>
    <w:rsid w:val="00B36BA4"/>
    <w:rsid w:val="00B4077B"/>
    <w:rsid w:val="00B40EBE"/>
    <w:rsid w:val="00B41B58"/>
    <w:rsid w:val="00B44241"/>
    <w:rsid w:val="00B44DD9"/>
    <w:rsid w:val="00B45D4C"/>
    <w:rsid w:val="00B46C72"/>
    <w:rsid w:val="00B47936"/>
    <w:rsid w:val="00B50A63"/>
    <w:rsid w:val="00B53102"/>
    <w:rsid w:val="00B55199"/>
    <w:rsid w:val="00B553E4"/>
    <w:rsid w:val="00B56A4D"/>
    <w:rsid w:val="00B57FD1"/>
    <w:rsid w:val="00B60284"/>
    <w:rsid w:val="00B616B0"/>
    <w:rsid w:val="00B62278"/>
    <w:rsid w:val="00B62598"/>
    <w:rsid w:val="00B639BA"/>
    <w:rsid w:val="00B63EC5"/>
    <w:rsid w:val="00B65F02"/>
    <w:rsid w:val="00B662BD"/>
    <w:rsid w:val="00B70462"/>
    <w:rsid w:val="00B71E6F"/>
    <w:rsid w:val="00B71FF4"/>
    <w:rsid w:val="00B722E5"/>
    <w:rsid w:val="00B734CA"/>
    <w:rsid w:val="00B74AA4"/>
    <w:rsid w:val="00B76B84"/>
    <w:rsid w:val="00B7750B"/>
    <w:rsid w:val="00B80B73"/>
    <w:rsid w:val="00B83DDE"/>
    <w:rsid w:val="00B85C31"/>
    <w:rsid w:val="00B8613D"/>
    <w:rsid w:val="00B86DA8"/>
    <w:rsid w:val="00B870A3"/>
    <w:rsid w:val="00B874F4"/>
    <w:rsid w:val="00B95AEA"/>
    <w:rsid w:val="00BA07A3"/>
    <w:rsid w:val="00BA1912"/>
    <w:rsid w:val="00BA1CB1"/>
    <w:rsid w:val="00BA23F7"/>
    <w:rsid w:val="00BA42EA"/>
    <w:rsid w:val="00BA6DDD"/>
    <w:rsid w:val="00BA7A43"/>
    <w:rsid w:val="00BB01B2"/>
    <w:rsid w:val="00BB01B8"/>
    <w:rsid w:val="00BB0803"/>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4E9D"/>
    <w:rsid w:val="00BC6136"/>
    <w:rsid w:val="00BC6CA0"/>
    <w:rsid w:val="00BC6D2D"/>
    <w:rsid w:val="00BC7DE0"/>
    <w:rsid w:val="00BD1ADE"/>
    <w:rsid w:val="00BD2759"/>
    <w:rsid w:val="00BD376E"/>
    <w:rsid w:val="00BE3645"/>
    <w:rsid w:val="00BE36A9"/>
    <w:rsid w:val="00BE4539"/>
    <w:rsid w:val="00BE4666"/>
    <w:rsid w:val="00BE5FFB"/>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B06"/>
    <w:rsid w:val="00C41C17"/>
    <w:rsid w:val="00C42ED3"/>
    <w:rsid w:val="00C436A5"/>
    <w:rsid w:val="00C45B53"/>
    <w:rsid w:val="00C50472"/>
    <w:rsid w:val="00C5116F"/>
    <w:rsid w:val="00C51397"/>
    <w:rsid w:val="00C51BE0"/>
    <w:rsid w:val="00C51EFD"/>
    <w:rsid w:val="00C56C68"/>
    <w:rsid w:val="00C56DFA"/>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65B"/>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076"/>
    <w:rsid w:val="00CB547E"/>
    <w:rsid w:val="00CB57DA"/>
    <w:rsid w:val="00CB67E3"/>
    <w:rsid w:val="00CB71C3"/>
    <w:rsid w:val="00CC01FD"/>
    <w:rsid w:val="00CC4946"/>
    <w:rsid w:val="00CC5747"/>
    <w:rsid w:val="00CD0732"/>
    <w:rsid w:val="00CD2ADC"/>
    <w:rsid w:val="00CD2B21"/>
    <w:rsid w:val="00CD2B63"/>
    <w:rsid w:val="00CD517B"/>
    <w:rsid w:val="00CE1EEC"/>
    <w:rsid w:val="00CE4F24"/>
    <w:rsid w:val="00CE61F2"/>
    <w:rsid w:val="00CF022A"/>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17F03"/>
    <w:rsid w:val="00D21075"/>
    <w:rsid w:val="00D23E54"/>
    <w:rsid w:val="00D24E19"/>
    <w:rsid w:val="00D264DB"/>
    <w:rsid w:val="00D27651"/>
    <w:rsid w:val="00D27A2D"/>
    <w:rsid w:val="00D3105B"/>
    <w:rsid w:val="00D3225F"/>
    <w:rsid w:val="00D331CC"/>
    <w:rsid w:val="00D344E7"/>
    <w:rsid w:val="00D3461D"/>
    <w:rsid w:val="00D34E0B"/>
    <w:rsid w:val="00D359C2"/>
    <w:rsid w:val="00D35C6B"/>
    <w:rsid w:val="00D35F2D"/>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5F48"/>
    <w:rsid w:val="00D57A92"/>
    <w:rsid w:val="00D57E52"/>
    <w:rsid w:val="00D61CD0"/>
    <w:rsid w:val="00D62866"/>
    <w:rsid w:val="00D638F8"/>
    <w:rsid w:val="00D67163"/>
    <w:rsid w:val="00D7003C"/>
    <w:rsid w:val="00D71288"/>
    <w:rsid w:val="00D74632"/>
    <w:rsid w:val="00D74E26"/>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27D"/>
    <w:rsid w:val="00DA1939"/>
    <w:rsid w:val="00DA250B"/>
    <w:rsid w:val="00DA40E2"/>
    <w:rsid w:val="00DA47B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C2011"/>
    <w:rsid w:val="00DD049D"/>
    <w:rsid w:val="00DD1206"/>
    <w:rsid w:val="00DD1FC3"/>
    <w:rsid w:val="00DD33C7"/>
    <w:rsid w:val="00DD3C63"/>
    <w:rsid w:val="00DE1545"/>
    <w:rsid w:val="00DE2CAA"/>
    <w:rsid w:val="00DE6DBB"/>
    <w:rsid w:val="00DF05FB"/>
    <w:rsid w:val="00DF0899"/>
    <w:rsid w:val="00DF1465"/>
    <w:rsid w:val="00DF549B"/>
    <w:rsid w:val="00DF5897"/>
    <w:rsid w:val="00DF64B2"/>
    <w:rsid w:val="00DF70AF"/>
    <w:rsid w:val="00E022C5"/>
    <w:rsid w:val="00E02689"/>
    <w:rsid w:val="00E04F76"/>
    <w:rsid w:val="00E07A63"/>
    <w:rsid w:val="00E1165C"/>
    <w:rsid w:val="00E12EF1"/>
    <w:rsid w:val="00E13A36"/>
    <w:rsid w:val="00E147DE"/>
    <w:rsid w:val="00E17FF6"/>
    <w:rsid w:val="00E204EA"/>
    <w:rsid w:val="00E2087A"/>
    <w:rsid w:val="00E20894"/>
    <w:rsid w:val="00E20CA9"/>
    <w:rsid w:val="00E23E2B"/>
    <w:rsid w:val="00E25762"/>
    <w:rsid w:val="00E25B2C"/>
    <w:rsid w:val="00E2698B"/>
    <w:rsid w:val="00E26F93"/>
    <w:rsid w:val="00E32CB4"/>
    <w:rsid w:val="00E3574D"/>
    <w:rsid w:val="00E40B2D"/>
    <w:rsid w:val="00E41A24"/>
    <w:rsid w:val="00E421BF"/>
    <w:rsid w:val="00E4287B"/>
    <w:rsid w:val="00E431F1"/>
    <w:rsid w:val="00E44115"/>
    <w:rsid w:val="00E47B5A"/>
    <w:rsid w:val="00E51D60"/>
    <w:rsid w:val="00E5247F"/>
    <w:rsid w:val="00E5261E"/>
    <w:rsid w:val="00E52BB4"/>
    <w:rsid w:val="00E52C4B"/>
    <w:rsid w:val="00E52CE8"/>
    <w:rsid w:val="00E53BCB"/>
    <w:rsid w:val="00E54849"/>
    <w:rsid w:val="00E5578D"/>
    <w:rsid w:val="00E55D3B"/>
    <w:rsid w:val="00E57208"/>
    <w:rsid w:val="00E638C9"/>
    <w:rsid w:val="00E647EA"/>
    <w:rsid w:val="00E653E7"/>
    <w:rsid w:val="00E67056"/>
    <w:rsid w:val="00E71020"/>
    <w:rsid w:val="00E71845"/>
    <w:rsid w:val="00E7215F"/>
    <w:rsid w:val="00E73A86"/>
    <w:rsid w:val="00E73DD6"/>
    <w:rsid w:val="00E74AF7"/>
    <w:rsid w:val="00E752C5"/>
    <w:rsid w:val="00E776C2"/>
    <w:rsid w:val="00E77C9C"/>
    <w:rsid w:val="00E80FAA"/>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0E1"/>
    <w:rsid w:val="00ED41B6"/>
    <w:rsid w:val="00ED5BB8"/>
    <w:rsid w:val="00ED6735"/>
    <w:rsid w:val="00EE0BB2"/>
    <w:rsid w:val="00EE0E75"/>
    <w:rsid w:val="00EE11F4"/>
    <w:rsid w:val="00EE370B"/>
    <w:rsid w:val="00EE5CC7"/>
    <w:rsid w:val="00EE679E"/>
    <w:rsid w:val="00EE6D9D"/>
    <w:rsid w:val="00EE7DB2"/>
    <w:rsid w:val="00EF05CB"/>
    <w:rsid w:val="00EF1AA9"/>
    <w:rsid w:val="00EF55FE"/>
    <w:rsid w:val="00EF6139"/>
    <w:rsid w:val="00EF79F5"/>
    <w:rsid w:val="00F03BC3"/>
    <w:rsid w:val="00F04036"/>
    <w:rsid w:val="00F041EC"/>
    <w:rsid w:val="00F10D76"/>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0A0D"/>
    <w:rsid w:val="00F7186E"/>
    <w:rsid w:val="00F72744"/>
    <w:rsid w:val="00F7412C"/>
    <w:rsid w:val="00F74CF3"/>
    <w:rsid w:val="00F75438"/>
    <w:rsid w:val="00F754B6"/>
    <w:rsid w:val="00F756F6"/>
    <w:rsid w:val="00F77329"/>
    <w:rsid w:val="00F80D14"/>
    <w:rsid w:val="00F81641"/>
    <w:rsid w:val="00F81A7D"/>
    <w:rsid w:val="00F81B15"/>
    <w:rsid w:val="00F823F4"/>
    <w:rsid w:val="00F83EA3"/>
    <w:rsid w:val="00F83EA8"/>
    <w:rsid w:val="00F83F74"/>
    <w:rsid w:val="00F8742D"/>
    <w:rsid w:val="00F87F1C"/>
    <w:rsid w:val="00F90D6C"/>
    <w:rsid w:val="00F917EB"/>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C67A0"/>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4328"/>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CA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 w:type="character" w:customStyle="1" w:styleId="il">
    <w:name w:val="il"/>
    <w:basedOn w:val="DefaultParagraphFont"/>
    <w:rsid w:val="008B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46381649">
      <w:bodyDiv w:val="1"/>
      <w:marLeft w:val="0"/>
      <w:marRight w:val="0"/>
      <w:marTop w:val="0"/>
      <w:marBottom w:val="0"/>
      <w:divBdr>
        <w:top w:val="none" w:sz="0" w:space="0" w:color="auto"/>
        <w:left w:val="none" w:sz="0" w:space="0" w:color="auto"/>
        <w:bottom w:val="none" w:sz="0" w:space="0" w:color="auto"/>
        <w:right w:val="none" w:sz="0" w:space="0" w:color="auto"/>
      </w:divBdr>
    </w:div>
    <w:div w:id="266889835">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313683124">
      <w:bodyDiv w:val="1"/>
      <w:marLeft w:val="0"/>
      <w:marRight w:val="0"/>
      <w:marTop w:val="0"/>
      <w:marBottom w:val="0"/>
      <w:divBdr>
        <w:top w:val="none" w:sz="0" w:space="0" w:color="auto"/>
        <w:left w:val="none" w:sz="0" w:space="0" w:color="auto"/>
        <w:bottom w:val="none" w:sz="0" w:space="0" w:color="auto"/>
        <w:right w:val="none" w:sz="0" w:space="0" w:color="auto"/>
      </w:divBdr>
    </w:div>
    <w:div w:id="361245140">
      <w:bodyDiv w:val="1"/>
      <w:marLeft w:val="0"/>
      <w:marRight w:val="0"/>
      <w:marTop w:val="0"/>
      <w:marBottom w:val="0"/>
      <w:divBdr>
        <w:top w:val="none" w:sz="0" w:space="0" w:color="auto"/>
        <w:left w:val="none" w:sz="0" w:space="0" w:color="auto"/>
        <w:bottom w:val="none" w:sz="0" w:space="0" w:color="auto"/>
        <w:right w:val="none" w:sz="0" w:space="0" w:color="auto"/>
      </w:divBdr>
    </w:div>
    <w:div w:id="428814310">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493306475">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33951842">
      <w:bodyDiv w:val="1"/>
      <w:marLeft w:val="0"/>
      <w:marRight w:val="0"/>
      <w:marTop w:val="0"/>
      <w:marBottom w:val="0"/>
      <w:divBdr>
        <w:top w:val="none" w:sz="0" w:space="0" w:color="auto"/>
        <w:left w:val="none" w:sz="0" w:space="0" w:color="auto"/>
        <w:bottom w:val="none" w:sz="0" w:space="0" w:color="auto"/>
        <w:right w:val="none" w:sz="0" w:space="0" w:color="auto"/>
      </w:divBdr>
    </w:div>
    <w:div w:id="688720085">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58404308">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0861895">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2756277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32346698">
      <w:bodyDiv w:val="1"/>
      <w:marLeft w:val="0"/>
      <w:marRight w:val="0"/>
      <w:marTop w:val="0"/>
      <w:marBottom w:val="0"/>
      <w:divBdr>
        <w:top w:val="none" w:sz="0" w:space="0" w:color="auto"/>
        <w:left w:val="none" w:sz="0" w:space="0" w:color="auto"/>
        <w:bottom w:val="none" w:sz="0" w:space="0" w:color="auto"/>
        <w:right w:val="none" w:sz="0" w:space="0" w:color="auto"/>
      </w:divBdr>
      <w:divsChild>
        <w:div w:id="1445418112">
          <w:marLeft w:val="0"/>
          <w:marRight w:val="0"/>
          <w:marTop w:val="0"/>
          <w:marBottom w:val="0"/>
          <w:divBdr>
            <w:top w:val="none" w:sz="0" w:space="0" w:color="auto"/>
            <w:left w:val="none" w:sz="0" w:space="0" w:color="auto"/>
            <w:bottom w:val="none" w:sz="0" w:space="0" w:color="auto"/>
            <w:right w:val="none" w:sz="0" w:space="0" w:color="auto"/>
          </w:divBdr>
          <w:divsChild>
            <w:div w:id="599988314">
              <w:marLeft w:val="0"/>
              <w:marRight w:val="0"/>
              <w:marTop w:val="0"/>
              <w:marBottom w:val="0"/>
              <w:divBdr>
                <w:top w:val="none" w:sz="0" w:space="0" w:color="auto"/>
                <w:left w:val="none" w:sz="0" w:space="0" w:color="auto"/>
                <w:bottom w:val="none" w:sz="0" w:space="0" w:color="auto"/>
                <w:right w:val="none" w:sz="0" w:space="0" w:color="auto"/>
              </w:divBdr>
              <w:divsChild>
                <w:div w:id="283774838">
                  <w:marLeft w:val="0"/>
                  <w:marRight w:val="0"/>
                  <w:marTop w:val="0"/>
                  <w:marBottom w:val="0"/>
                  <w:divBdr>
                    <w:top w:val="none" w:sz="0" w:space="0" w:color="auto"/>
                    <w:left w:val="none" w:sz="0" w:space="0" w:color="auto"/>
                    <w:bottom w:val="none" w:sz="0" w:space="0" w:color="auto"/>
                    <w:right w:val="none" w:sz="0" w:space="0" w:color="auto"/>
                  </w:divBdr>
                  <w:divsChild>
                    <w:div w:id="2127504073">
                      <w:marLeft w:val="0"/>
                      <w:marRight w:val="0"/>
                      <w:marTop w:val="0"/>
                      <w:marBottom w:val="0"/>
                      <w:divBdr>
                        <w:top w:val="none" w:sz="0" w:space="0" w:color="auto"/>
                        <w:left w:val="none" w:sz="0" w:space="0" w:color="auto"/>
                        <w:bottom w:val="none" w:sz="0" w:space="0" w:color="auto"/>
                        <w:right w:val="none" w:sz="0" w:space="0" w:color="auto"/>
                      </w:divBdr>
                      <w:divsChild>
                        <w:div w:id="573315337">
                          <w:marLeft w:val="0"/>
                          <w:marRight w:val="0"/>
                          <w:marTop w:val="0"/>
                          <w:marBottom w:val="0"/>
                          <w:divBdr>
                            <w:top w:val="none" w:sz="0" w:space="0" w:color="auto"/>
                            <w:left w:val="none" w:sz="0" w:space="0" w:color="auto"/>
                            <w:bottom w:val="none" w:sz="0" w:space="0" w:color="auto"/>
                            <w:right w:val="none" w:sz="0" w:space="0" w:color="auto"/>
                          </w:divBdr>
                          <w:divsChild>
                            <w:div w:id="1671133510">
                              <w:marLeft w:val="0"/>
                              <w:marRight w:val="0"/>
                              <w:marTop w:val="0"/>
                              <w:marBottom w:val="0"/>
                              <w:divBdr>
                                <w:top w:val="none" w:sz="0" w:space="0" w:color="auto"/>
                                <w:left w:val="none" w:sz="0" w:space="0" w:color="auto"/>
                                <w:bottom w:val="none" w:sz="0" w:space="0" w:color="auto"/>
                                <w:right w:val="none" w:sz="0" w:space="0" w:color="auto"/>
                              </w:divBdr>
                              <w:divsChild>
                                <w:div w:id="268977880">
                                  <w:marLeft w:val="0"/>
                                  <w:marRight w:val="0"/>
                                  <w:marTop w:val="0"/>
                                  <w:marBottom w:val="0"/>
                                  <w:divBdr>
                                    <w:top w:val="none" w:sz="0" w:space="0" w:color="auto"/>
                                    <w:left w:val="none" w:sz="0" w:space="0" w:color="auto"/>
                                    <w:bottom w:val="none" w:sz="0" w:space="0" w:color="auto"/>
                                    <w:right w:val="none" w:sz="0" w:space="0" w:color="auto"/>
                                  </w:divBdr>
                                  <w:divsChild>
                                    <w:div w:id="628246630">
                                      <w:marLeft w:val="0"/>
                                      <w:marRight w:val="0"/>
                                      <w:marTop w:val="0"/>
                                      <w:marBottom w:val="0"/>
                                      <w:divBdr>
                                        <w:top w:val="none" w:sz="0" w:space="0" w:color="auto"/>
                                        <w:left w:val="none" w:sz="0" w:space="0" w:color="auto"/>
                                        <w:bottom w:val="none" w:sz="0" w:space="0" w:color="auto"/>
                                        <w:right w:val="none" w:sz="0" w:space="0" w:color="auto"/>
                                      </w:divBdr>
                                      <w:divsChild>
                                        <w:div w:id="1558856182">
                                          <w:marLeft w:val="0"/>
                                          <w:marRight w:val="0"/>
                                          <w:marTop w:val="0"/>
                                          <w:marBottom w:val="0"/>
                                          <w:divBdr>
                                            <w:top w:val="none" w:sz="0" w:space="0" w:color="auto"/>
                                            <w:left w:val="none" w:sz="0" w:space="0" w:color="auto"/>
                                            <w:bottom w:val="none" w:sz="0" w:space="0" w:color="auto"/>
                                            <w:right w:val="none" w:sz="0" w:space="0" w:color="auto"/>
                                          </w:divBdr>
                                          <w:divsChild>
                                            <w:div w:id="215243975">
                                              <w:marLeft w:val="0"/>
                                              <w:marRight w:val="0"/>
                                              <w:marTop w:val="0"/>
                                              <w:marBottom w:val="0"/>
                                              <w:divBdr>
                                                <w:top w:val="none" w:sz="0" w:space="0" w:color="auto"/>
                                                <w:left w:val="none" w:sz="0" w:space="0" w:color="auto"/>
                                                <w:bottom w:val="none" w:sz="0" w:space="0" w:color="auto"/>
                                                <w:right w:val="none" w:sz="0" w:space="0" w:color="auto"/>
                                              </w:divBdr>
                                              <w:divsChild>
                                                <w:div w:id="2099792121">
                                                  <w:marLeft w:val="0"/>
                                                  <w:marRight w:val="0"/>
                                                  <w:marTop w:val="0"/>
                                                  <w:marBottom w:val="0"/>
                                                  <w:divBdr>
                                                    <w:top w:val="none" w:sz="0" w:space="0" w:color="auto"/>
                                                    <w:left w:val="none" w:sz="0" w:space="0" w:color="auto"/>
                                                    <w:bottom w:val="none" w:sz="0" w:space="0" w:color="auto"/>
                                                    <w:right w:val="none" w:sz="0" w:space="0" w:color="auto"/>
                                                  </w:divBdr>
                                                  <w:divsChild>
                                                    <w:div w:id="5136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49276474">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19586295">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358478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987">
      <w:bodyDiv w:val="1"/>
      <w:marLeft w:val="0"/>
      <w:marRight w:val="0"/>
      <w:marTop w:val="0"/>
      <w:marBottom w:val="0"/>
      <w:divBdr>
        <w:top w:val="none" w:sz="0" w:space="0" w:color="auto"/>
        <w:left w:val="none" w:sz="0" w:space="0" w:color="auto"/>
        <w:bottom w:val="none" w:sz="0" w:space="0" w:color="auto"/>
        <w:right w:val="none" w:sz="0" w:space="0" w:color="auto"/>
      </w:divBdr>
    </w:div>
    <w:div w:id="1815562237">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38763032">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89191533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1032018">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079741086">
      <w:bodyDiv w:val="1"/>
      <w:marLeft w:val="0"/>
      <w:marRight w:val="0"/>
      <w:marTop w:val="0"/>
      <w:marBottom w:val="0"/>
      <w:divBdr>
        <w:top w:val="none" w:sz="0" w:space="0" w:color="auto"/>
        <w:left w:val="none" w:sz="0" w:space="0" w:color="auto"/>
        <w:bottom w:val="none" w:sz="0" w:space="0" w:color="auto"/>
        <w:right w:val="none" w:sz="0" w:space="0" w:color="auto"/>
      </w:divBdr>
    </w:div>
    <w:div w:id="2113011737">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HB2063ER" TargetMode="External"/><Relationship Id="rId13" Type="http://schemas.openxmlformats.org/officeDocument/2006/relationships/hyperlink" Target="https://www.dol.gov/agencies/whd/fact-sheets/regular-rat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l.gov/agencies/whd/overtime/2019-regular-r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overtime/t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l.gov/sites/dolgov/files/WHD/legacy/files/whdfs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l.gov/sites/dolgov/files/WHD/legacy/files/FairLaborStandAct.pdf" TargetMode="External"/><Relationship Id="rId14" Type="http://schemas.openxmlformats.org/officeDocument/2006/relationships/hyperlink" Target="https://www.doa.virginia.gov/reference/payroll/bulletins/2013/2013_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BA18-C4A9-44F2-89D1-7822DABF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6810</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2021-07-20T19:32:00Z</dcterms:created>
  <dcterms:modified xsi:type="dcterms:W3CDTF">2021-07-20T19:33:00Z</dcterms:modified>
</cp:coreProperties>
</file>