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C2408E">
            <w:pPr>
              <w:pStyle w:val="Header"/>
              <w:rPr>
                <w:b/>
                <w:sz w:val="20"/>
              </w:rPr>
            </w:pPr>
            <w:r>
              <w:rPr>
                <w:b/>
                <w:sz w:val="20"/>
              </w:rPr>
              <w:t xml:space="preserve">Calendar Year </w:t>
            </w:r>
            <w:r w:rsidR="00CB1857">
              <w:rPr>
                <w:b/>
                <w:sz w:val="20"/>
              </w:rPr>
              <w:t>202</w:t>
            </w:r>
            <w:r w:rsidR="00C2408E">
              <w:rPr>
                <w:b/>
                <w:sz w:val="20"/>
              </w:rPr>
              <w:t>2</w:t>
            </w:r>
          </w:p>
        </w:tc>
        <w:tc>
          <w:tcPr>
            <w:tcW w:w="3366" w:type="dxa"/>
            <w:tcBorders>
              <w:bottom w:val="double" w:sz="6" w:space="0" w:color="auto"/>
            </w:tcBorders>
          </w:tcPr>
          <w:p w:rsidR="00CF5444" w:rsidRDefault="00231393" w:rsidP="00231393">
            <w:pPr>
              <w:pStyle w:val="Header"/>
              <w:jc w:val="center"/>
              <w:rPr>
                <w:b/>
                <w:sz w:val="20"/>
              </w:rPr>
            </w:pPr>
            <w:r>
              <w:rPr>
                <w:b/>
                <w:sz w:val="20"/>
              </w:rPr>
              <w:t>August 25</w:t>
            </w:r>
            <w:r w:rsidR="00E062A0">
              <w:rPr>
                <w:b/>
                <w:sz w:val="20"/>
              </w:rPr>
              <w:t xml:space="preserve">, </w:t>
            </w:r>
            <w:r w:rsidR="00CB1857">
              <w:rPr>
                <w:b/>
                <w:sz w:val="20"/>
              </w:rPr>
              <w:t>202</w:t>
            </w:r>
            <w:r w:rsidR="00C2408E">
              <w:rPr>
                <w:b/>
                <w:sz w:val="20"/>
              </w:rPr>
              <w:t>2</w:t>
            </w:r>
          </w:p>
        </w:tc>
        <w:tc>
          <w:tcPr>
            <w:tcW w:w="3366" w:type="dxa"/>
            <w:tcBorders>
              <w:bottom w:val="double" w:sz="6" w:space="0" w:color="auto"/>
            </w:tcBorders>
          </w:tcPr>
          <w:p w:rsidR="00CF5444" w:rsidRDefault="00CF5444" w:rsidP="00231393">
            <w:pPr>
              <w:pStyle w:val="Header"/>
              <w:jc w:val="right"/>
              <w:rPr>
                <w:b/>
                <w:sz w:val="20"/>
              </w:rPr>
            </w:pPr>
            <w:r>
              <w:rPr>
                <w:b/>
                <w:sz w:val="20"/>
              </w:rPr>
              <w:t xml:space="preserve">Volume </w:t>
            </w:r>
            <w:r w:rsidR="00CB1857">
              <w:rPr>
                <w:b/>
                <w:sz w:val="20"/>
              </w:rPr>
              <w:t>202</w:t>
            </w:r>
            <w:r w:rsidR="00C2408E">
              <w:rPr>
                <w:b/>
                <w:sz w:val="20"/>
              </w:rPr>
              <w:t>2</w:t>
            </w:r>
            <w:r>
              <w:rPr>
                <w:b/>
                <w:sz w:val="20"/>
              </w:rPr>
              <w:t>-</w:t>
            </w:r>
            <w:r w:rsidR="00231393">
              <w:rPr>
                <w:b/>
                <w:sz w:val="20"/>
              </w:rPr>
              <w:t>10</w:t>
            </w:r>
          </w:p>
        </w:tc>
      </w:tr>
    </w:tbl>
    <w:p w:rsidR="00AC21E2" w:rsidRDefault="00AC21E2"/>
    <w:tbl>
      <w:tblPr>
        <w:tblW w:w="0" w:type="auto"/>
        <w:tblLook w:val="01E0" w:firstRow="1" w:lastRow="1" w:firstColumn="1" w:lastColumn="1" w:noHBand="0" w:noVBand="0"/>
      </w:tblPr>
      <w:tblGrid>
        <w:gridCol w:w="2223"/>
        <w:gridCol w:w="3979"/>
        <w:gridCol w:w="3734"/>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5D49E7" w:rsidRDefault="006C39A4" w:rsidP="005D49E7">
            <w:pPr>
              <w:pStyle w:val="ListParagraph"/>
              <w:numPr>
                <w:ilvl w:val="0"/>
                <w:numId w:val="7"/>
              </w:numPr>
              <w:rPr>
                <w:sz w:val="20"/>
              </w:rPr>
            </w:pPr>
            <w:r>
              <w:rPr>
                <w:sz w:val="20"/>
              </w:rPr>
              <w:t xml:space="preserve">HCM </w:t>
            </w:r>
            <w:r w:rsidR="002F7063">
              <w:rPr>
                <w:sz w:val="20"/>
              </w:rPr>
              <w:t>Pay</w:t>
            </w:r>
            <w:r w:rsidR="00495C2F">
              <w:rPr>
                <w:sz w:val="20"/>
              </w:rPr>
              <w:t xml:space="preserve"> Group Change</w:t>
            </w:r>
          </w:p>
          <w:p w:rsidR="002F7063" w:rsidRPr="00AC21E2" w:rsidRDefault="002F7063" w:rsidP="00231393">
            <w:pPr>
              <w:pStyle w:val="ListParagraph"/>
              <w:ind w:left="900"/>
              <w:rPr>
                <w:sz w:val="20"/>
              </w:rPr>
            </w:pP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 xml:space="preserve">Director                         </w:t>
            </w:r>
            <w:r w:rsidR="00B15C03">
              <w:rPr>
                <w:b/>
                <w:sz w:val="20"/>
              </w:rPr>
              <w:t>Cathy C. McGill</w:t>
            </w:r>
          </w:p>
          <w:p w:rsidR="0056085F" w:rsidRPr="00014DB8" w:rsidRDefault="00B15C03" w:rsidP="00B15C03">
            <w:pPr>
              <w:tabs>
                <w:tab w:val="left" w:pos="990"/>
              </w:tabs>
              <w:spacing w:before="120"/>
              <w:rPr>
                <w:szCs w:val="24"/>
              </w:rPr>
            </w:pPr>
            <w:r>
              <w:rPr>
                <w:sz w:val="20"/>
              </w:rPr>
              <w:t>Assistant</w:t>
            </w:r>
            <w:r w:rsidR="0056085F" w:rsidRPr="00014DB8">
              <w:rPr>
                <w:sz w:val="20"/>
              </w:rPr>
              <w:t xml:space="preserve"> Director          </w:t>
            </w:r>
            <w:r w:rsidR="00DF4DE7">
              <w:rPr>
                <w:sz w:val="20"/>
              </w:rPr>
              <w:t xml:space="preserve"> </w:t>
            </w:r>
            <w:r>
              <w:rPr>
                <w:sz w:val="20"/>
              </w:rPr>
              <w:t>Carmelita Holmes</w:t>
            </w:r>
          </w:p>
        </w:tc>
      </w:tr>
    </w:tbl>
    <w:p w:rsidR="005B3E5E" w:rsidRPr="00C6337F" w:rsidRDefault="005B3E5E" w:rsidP="005B3E5E">
      <w:pPr>
        <w:pStyle w:val="BlockLine"/>
        <w:spacing w:before="120"/>
        <w:ind w:left="1627"/>
        <w:rPr>
          <w:sz w:val="16"/>
          <w:szCs w:val="16"/>
        </w:rPr>
      </w:pPr>
    </w:p>
    <w:p w:rsidR="00AC2383" w:rsidRPr="00EF2B82" w:rsidRDefault="00720944" w:rsidP="00AC2383">
      <w:pPr>
        <w:pStyle w:val="MapTitleContinued"/>
        <w:spacing w:after="0"/>
        <w:outlineLvl w:val="0"/>
        <w:rPr>
          <w:rFonts w:ascii="Times New Roman" w:hAnsi="Times New Roman"/>
          <w:sz w:val="28"/>
          <w:szCs w:val="28"/>
        </w:rPr>
      </w:pPr>
      <w:r>
        <w:rPr>
          <w:rFonts w:ascii="Times New Roman" w:hAnsi="Times New Roman"/>
          <w:sz w:val="28"/>
          <w:szCs w:val="28"/>
        </w:rPr>
        <w:t xml:space="preserve">HCM </w:t>
      </w:r>
      <w:r w:rsidR="00231393">
        <w:rPr>
          <w:rFonts w:ascii="Times New Roman" w:hAnsi="Times New Roman"/>
          <w:sz w:val="28"/>
          <w:szCs w:val="28"/>
        </w:rPr>
        <w:t>Pay Group Change</w:t>
      </w:r>
    </w:p>
    <w:p w:rsidR="00CE2BF4" w:rsidRPr="000938AD" w:rsidRDefault="00CE2BF4" w:rsidP="005B3E5E">
      <w:pPr>
        <w:pStyle w:val="BlockLine"/>
        <w:spacing w:before="120"/>
        <w:ind w:left="1627"/>
        <w:rPr>
          <w:sz w:val="16"/>
          <w:szCs w:val="16"/>
        </w:rPr>
      </w:pPr>
    </w:p>
    <w:tbl>
      <w:tblPr>
        <w:tblW w:w="10188" w:type="dxa"/>
        <w:tblLayout w:type="fixed"/>
        <w:tblLook w:val="0000" w:firstRow="0" w:lastRow="0" w:firstColumn="0" w:lastColumn="0" w:noHBand="0" w:noVBand="0"/>
      </w:tblPr>
      <w:tblGrid>
        <w:gridCol w:w="1620"/>
        <w:gridCol w:w="8568"/>
      </w:tblGrid>
      <w:tr w:rsidR="00CE2BF4" w:rsidRPr="00C6337F" w:rsidTr="002C051D">
        <w:trPr>
          <w:cantSplit/>
          <w:trHeight w:val="8613"/>
        </w:trPr>
        <w:tc>
          <w:tcPr>
            <w:tcW w:w="1620" w:type="dxa"/>
          </w:tcPr>
          <w:p w:rsidR="00CE2BF4" w:rsidRPr="00231393" w:rsidRDefault="00231393" w:rsidP="00AC2383">
            <w:pPr>
              <w:pStyle w:val="Heading5"/>
              <w:rPr>
                <w:sz w:val="24"/>
                <w:szCs w:val="24"/>
              </w:rPr>
            </w:pPr>
            <w:r w:rsidRPr="00231393">
              <w:rPr>
                <w:sz w:val="24"/>
                <w:szCs w:val="24"/>
              </w:rPr>
              <w:t>NS Pay Group discontinued</w:t>
            </w:r>
          </w:p>
        </w:tc>
        <w:tc>
          <w:tcPr>
            <w:tcW w:w="8568" w:type="dxa"/>
          </w:tcPr>
          <w:p w:rsidR="00A9396D" w:rsidRPr="005B19F6" w:rsidRDefault="00231393" w:rsidP="00DB22C8">
            <w:pPr>
              <w:shd w:val="clear" w:color="auto" w:fill="FFFFFF"/>
              <w:rPr>
                <w:color w:val="222222"/>
                <w:sz w:val="22"/>
                <w:szCs w:val="22"/>
              </w:rPr>
            </w:pPr>
            <w:r w:rsidRPr="005B19F6">
              <w:rPr>
                <w:color w:val="222222"/>
                <w:sz w:val="22"/>
                <w:szCs w:val="22"/>
              </w:rPr>
              <w:t xml:space="preserve">Effective </w:t>
            </w:r>
            <w:r w:rsidR="00BC313F" w:rsidRPr="005B19F6">
              <w:rPr>
                <w:color w:val="222222"/>
                <w:sz w:val="22"/>
                <w:szCs w:val="22"/>
              </w:rPr>
              <w:t>Monday, Au</w:t>
            </w:r>
            <w:r w:rsidRPr="005B19F6">
              <w:rPr>
                <w:color w:val="222222"/>
                <w:sz w:val="22"/>
                <w:szCs w:val="22"/>
              </w:rPr>
              <w:t>gust 2</w:t>
            </w:r>
            <w:r w:rsidR="00BC313F" w:rsidRPr="005B19F6">
              <w:rPr>
                <w:color w:val="222222"/>
                <w:sz w:val="22"/>
                <w:szCs w:val="22"/>
              </w:rPr>
              <w:t>9</w:t>
            </w:r>
            <w:r w:rsidRPr="005B19F6">
              <w:rPr>
                <w:color w:val="222222"/>
                <w:sz w:val="22"/>
                <w:szCs w:val="22"/>
              </w:rPr>
              <w:t xml:space="preserve">, 2022, use of the NS pay group to put employees into a non-auto status will be discontinued.  </w:t>
            </w:r>
          </w:p>
          <w:p w:rsidR="00954D75" w:rsidRPr="005B19F6" w:rsidRDefault="00954D75" w:rsidP="00DB22C8">
            <w:pPr>
              <w:shd w:val="clear" w:color="auto" w:fill="FFFFFF"/>
              <w:rPr>
                <w:color w:val="222222"/>
                <w:sz w:val="22"/>
                <w:szCs w:val="22"/>
              </w:rPr>
            </w:pPr>
          </w:p>
          <w:p w:rsidR="00BC313F" w:rsidRPr="005B19F6" w:rsidRDefault="0042736C" w:rsidP="00DB22C8">
            <w:pPr>
              <w:shd w:val="clear" w:color="auto" w:fill="FFFFFF"/>
              <w:rPr>
                <w:color w:val="222222"/>
                <w:sz w:val="22"/>
                <w:szCs w:val="22"/>
              </w:rPr>
            </w:pPr>
            <w:r w:rsidRPr="005B19F6">
              <w:rPr>
                <w:color w:val="222222"/>
                <w:sz w:val="22"/>
                <w:szCs w:val="22"/>
              </w:rPr>
              <w:t>A new feature</w:t>
            </w:r>
            <w:r w:rsidR="00D8041A" w:rsidRPr="005B19F6">
              <w:rPr>
                <w:color w:val="222222"/>
                <w:sz w:val="22"/>
                <w:szCs w:val="22"/>
              </w:rPr>
              <w:t xml:space="preserve">, Turn Off Auto Pay, </w:t>
            </w:r>
            <w:r w:rsidRPr="005B19F6">
              <w:rPr>
                <w:color w:val="222222"/>
                <w:sz w:val="22"/>
                <w:szCs w:val="22"/>
              </w:rPr>
              <w:t>has been added to the Job Data record to allow agencies to identify whether or not an employee should receive the full amount of regular pay during the pay period.</w:t>
            </w:r>
            <w:r w:rsidR="00D8041A" w:rsidRPr="005B19F6">
              <w:rPr>
                <w:color w:val="222222"/>
                <w:sz w:val="22"/>
                <w:szCs w:val="22"/>
              </w:rPr>
              <w:t xml:space="preserve">  </w:t>
            </w:r>
            <w:r w:rsidR="003F60B3" w:rsidRPr="005B19F6">
              <w:rPr>
                <w:color w:val="222222"/>
                <w:sz w:val="22"/>
                <w:szCs w:val="22"/>
              </w:rPr>
              <w:t xml:space="preserve">All employees in an NS pay group will automatically be returned to the SM group </w:t>
            </w:r>
            <w:r w:rsidR="003F60B3">
              <w:rPr>
                <w:color w:val="222222"/>
                <w:sz w:val="22"/>
                <w:szCs w:val="22"/>
              </w:rPr>
              <w:t xml:space="preserve">and “Yes” will be activated in the Turn Off Auto Pay field.  Agencies </w:t>
            </w:r>
            <w:r w:rsidR="00811085">
              <w:rPr>
                <w:color w:val="222222"/>
                <w:sz w:val="22"/>
                <w:szCs w:val="22"/>
              </w:rPr>
              <w:t xml:space="preserve">do </w:t>
            </w:r>
            <w:r w:rsidR="003F60B3">
              <w:rPr>
                <w:color w:val="222222"/>
                <w:sz w:val="22"/>
                <w:szCs w:val="22"/>
              </w:rPr>
              <w:t xml:space="preserve">not need to change anything. </w:t>
            </w:r>
            <w:r w:rsidR="003F60B3" w:rsidRPr="005B19F6">
              <w:rPr>
                <w:color w:val="222222"/>
                <w:sz w:val="22"/>
                <w:szCs w:val="22"/>
              </w:rPr>
              <w:t xml:space="preserve"> Reports run on Monday, August 29, wi</w:t>
            </w:r>
            <w:r w:rsidR="00811085">
              <w:rPr>
                <w:color w:val="222222"/>
                <w:sz w:val="22"/>
                <w:szCs w:val="22"/>
              </w:rPr>
              <w:t>ll reflect the changes.</w:t>
            </w:r>
          </w:p>
          <w:p w:rsidR="00BC313F" w:rsidRPr="005B19F6" w:rsidRDefault="00BC313F" w:rsidP="00DB22C8">
            <w:pPr>
              <w:shd w:val="clear" w:color="auto" w:fill="FFFFFF"/>
              <w:rPr>
                <w:color w:val="222222"/>
                <w:sz w:val="22"/>
                <w:szCs w:val="22"/>
              </w:rPr>
            </w:pPr>
          </w:p>
          <w:p w:rsidR="00BC313F" w:rsidRPr="005B19F6" w:rsidRDefault="00BC313F" w:rsidP="00BC313F">
            <w:pPr>
              <w:shd w:val="clear" w:color="auto" w:fill="FFFFFF"/>
              <w:jc w:val="center"/>
              <w:rPr>
                <w:color w:val="222222"/>
                <w:sz w:val="22"/>
                <w:szCs w:val="22"/>
              </w:rPr>
            </w:pPr>
            <w:r w:rsidRPr="005B19F6">
              <w:rPr>
                <w:rFonts w:ascii="Arial" w:hAnsi="Arial" w:cs="Arial"/>
                <w:noProof/>
                <w:color w:val="000000"/>
                <w:sz w:val="22"/>
                <w:szCs w:val="22"/>
              </w:rPr>
              <w:drawing>
                <wp:inline distT="0" distB="0" distL="0" distR="0" wp14:anchorId="62DB728F" wp14:editId="17C6BED4">
                  <wp:extent cx="2070100" cy="685761"/>
                  <wp:effectExtent l="19050" t="19050" r="254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5285" cy="687478"/>
                          </a:xfrm>
                          <a:prstGeom prst="rect">
                            <a:avLst/>
                          </a:prstGeom>
                          <a:ln>
                            <a:solidFill>
                              <a:schemeClr val="tx1"/>
                            </a:solidFill>
                          </a:ln>
                        </pic:spPr>
                      </pic:pic>
                    </a:graphicData>
                  </a:graphic>
                </wp:inline>
              </w:drawing>
            </w:r>
          </w:p>
          <w:p w:rsidR="00BC313F" w:rsidRPr="005B19F6" w:rsidRDefault="00BC313F" w:rsidP="00DB22C8">
            <w:pPr>
              <w:shd w:val="clear" w:color="auto" w:fill="FFFFFF"/>
              <w:rPr>
                <w:color w:val="222222"/>
                <w:sz w:val="22"/>
                <w:szCs w:val="22"/>
              </w:rPr>
            </w:pPr>
          </w:p>
          <w:p w:rsidR="006E1019" w:rsidRPr="005B19F6" w:rsidRDefault="00954D75" w:rsidP="00DB22C8">
            <w:pPr>
              <w:shd w:val="clear" w:color="auto" w:fill="FFFFFF"/>
              <w:rPr>
                <w:color w:val="222222"/>
                <w:sz w:val="22"/>
                <w:szCs w:val="22"/>
              </w:rPr>
            </w:pPr>
            <w:r w:rsidRPr="005B19F6">
              <w:rPr>
                <w:color w:val="222222"/>
                <w:sz w:val="22"/>
                <w:szCs w:val="22"/>
              </w:rPr>
              <w:t>The Turn Off Auto Pay field does not need to be updated on the pay period begin date</w:t>
            </w:r>
            <w:r w:rsidR="00B460C2">
              <w:rPr>
                <w:color w:val="222222"/>
                <w:sz w:val="22"/>
                <w:szCs w:val="22"/>
              </w:rPr>
              <w:t xml:space="preserve"> but requires a new effective dated row</w:t>
            </w:r>
            <w:r w:rsidRPr="005B19F6">
              <w:rPr>
                <w:color w:val="222222"/>
                <w:sz w:val="22"/>
                <w:szCs w:val="22"/>
              </w:rPr>
              <w:t xml:space="preserve">.       </w:t>
            </w:r>
          </w:p>
          <w:p w:rsidR="00231393" w:rsidRPr="005B19F6" w:rsidRDefault="00231393" w:rsidP="00DB22C8">
            <w:pPr>
              <w:shd w:val="clear" w:color="auto" w:fill="FFFFFF"/>
              <w:rPr>
                <w:color w:val="222222"/>
                <w:sz w:val="22"/>
                <w:szCs w:val="22"/>
              </w:rPr>
            </w:pPr>
          </w:p>
          <w:p w:rsidR="005B19F6" w:rsidRPr="005B19F6" w:rsidRDefault="00231393" w:rsidP="006F188A">
            <w:pPr>
              <w:pStyle w:val="ListParagraph"/>
              <w:numPr>
                <w:ilvl w:val="0"/>
                <w:numId w:val="11"/>
              </w:numPr>
              <w:shd w:val="clear" w:color="auto" w:fill="FFFFFF"/>
              <w:rPr>
                <w:color w:val="222222"/>
                <w:sz w:val="22"/>
                <w:szCs w:val="22"/>
              </w:rPr>
            </w:pPr>
            <w:r w:rsidRPr="005B19F6">
              <w:rPr>
                <w:color w:val="222222"/>
                <w:sz w:val="22"/>
                <w:szCs w:val="22"/>
              </w:rPr>
              <w:t>If the Paid Leave of Absence effective day occurs at the beginning or in the middle of a pay period</w:t>
            </w:r>
            <w:r w:rsidR="00B03969">
              <w:rPr>
                <w:color w:val="222222"/>
                <w:sz w:val="22"/>
                <w:szCs w:val="22"/>
              </w:rPr>
              <w:t xml:space="preserve"> and the TOAP field is changed to “Yes”</w:t>
            </w:r>
            <w:r w:rsidRPr="005B19F6">
              <w:rPr>
                <w:color w:val="222222"/>
                <w:sz w:val="22"/>
                <w:szCs w:val="22"/>
              </w:rPr>
              <w:t>, the salary and additional pay will be turned </w:t>
            </w:r>
            <w:r w:rsidRPr="005B19F6">
              <w:rPr>
                <w:b/>
                <w:bCs/>
                <w:color w:val="222222"/>
                <w:sz w:val="22"/>
                <w:szCs w:val="22"/>
              </w:rPr>
              <w:t>off</w:t>
            </w:r>
            <w:r w:rsidRPr="005B19F6">
              <w:rPr>
                <w:color w:val="222222"/>
                <w:sz w:val="22"/>
                <w:szCs w:val="22"/>
              </w:rPr>
              <w:t> for the entire pay period.  Updating the TOAP field in the middle of the pay period will not prorate the employee’s pay.  A SPOT transaction must be keyed to ADD the regular pay due the employee for the pay period and for any Additional Pay, including (VRS) tha</w:t>
            </w:r>
            <w:r w:rsidR="005B19F6" w:rsidRPr="005B19F6">
              <w:rPr>
                <w:color w:val="222222"/>
                <w:sz w:val="22"/>
                <w:szCs w:val="22"/>
              </w:rPr>
              <w:t>t should continue to process.</w:t>
            </w:r>
          </w:p>
          <w:p w:rsidR="005B19F6" w:rsidRPr="005B19F6" w:rsidRDefault="00231393" w:rsidP="007C6A38">
            <w:pPr>
              <w:pStyle w:val="ListParagraph"/>
              <w:numPr>
                <w:ilvl w:val="0"/>
                <w:numId w:val="11"/>
              </w:numPr>
              <w:shd w:val="clear" w:color="auto" w:fill="FFFFFF"/>
              <w:rPr>
                <w:color w:val="222222"/>
                <w:sz w:val="22"/>
                <w:szCs w:val="22"/>
              </w:rPr>
            </w:pPr>
            <w:r w:rsidRPr="005B19F6">
              <w:rPr>
                <w:color w:val="222222"/>
                <w:sz w:val="22"/>
                <w:szCs w:val="22"/>
              </w:rPr>
              <w:t>While the employee is on Paid Leave of Absence</w:t>
            </w:r>
            <w:r w:rsidR="00B03969">
              <w:rPr>
                <w:color w:val="222222"/>
                <w:sz w:val="22"/>
                <w:szCs w:val="22"/>
              </w:rPr>
              <w:t xml:space="preserve"> and the TOAP field is set to “Yes”</w:t>
            </w:r>
            <w:r w:rsidRPr="005B19F6">
              <w:rPr>
                <w:color w:val="222222"/>
                <w:sz w:val="22"/>
                <w:szCs w:val="22"/>
              </w:rPr>
              <w:t>, SPOT transactions for earnings must include any Additional Pay that should continue to process</w:t>
            </w:r>
            <w:r w:rsidR="005B19F6" w:rsidRPr="005B19F6">
              <w:rPr>
                <w:color w:val="222222"/>
                <w:sz w:val="22"/>
                <w:szCs w:val="22"/>
              </w:rPr>
              <w:t>.</w:t>
            </w:r>
          </w:p>
          <w:p w:rsidR="00231393" w:rsidRPr="005B19F6" w:rsidRDefault="00231393" w:rsidP="007C6A38">
            <w:pPr>
              <w:pStyle w:val="ListParagraph"/>
              <w:numPr>
                <w:ilvl w:val="0"/>
                <w:numId w:val="11"/>
              </w:numPr>
              <w:shd w:val="clear" w:color="auto" w:fill="FFFFFF"/>
              <w:rPr>
                <w:color w:val="222222"/>
                <w:sz w:val="22"/>
                <w:szCs w:val="22"/>
              </w:rPr>
            </w:pPr>
            <w:r w:rsidRPr="005B19F6">
              <w:rPr>
                <w:color w:val="222222"/>
                <w:sz w:val="22"/>
                <w:szCs w:val="22"/>
              </w:rPr>
              <w:t>If the Return from Paid Leave effective day occurs in the middle of a pay period</w:t>
            </w:r>
            <w:r w:rsidR="00B03969">
              <w:rPr>
                <w:color w:val="222222"/>
                <w:sz w:val="22"/>
                <w:szCs w:val="22"/>
              </w:rPr>
              <w:t xml:space="preserve"> and the TOAP field is changed to “No”</w:t>
            </w:r>
            <w:r w:rsidRPr="005B19F6">
              <w:rPr>
                <w:color w:val="222222"/>
                <w:sz w:val="22"/>
                <w:szCs w:val="22"/>
              </w:rPr>
              <w:t>,</w:t>
            </w:r>
            <w:r w:rsidR="00B03969">
              <w:rPr>
                <w:color w:val="222222"/>
                <w:sz w:val="22"/>
                <w:szCs w:val="22"/>
              </w:rPr>
              <w:t xml:space="preserve"> </w:t>
            </w:r>
            <w:bookmarkStart w:id="0" w:name="_GoBack"/>
            <w:bookmarkEnd w:id="0"/>
            <w:r w:rsidRPr="005B19F6">
              <w:rPr>
                <w:color w:val="222222"/>
                <w:sz w:val="22"/>
                <w:szCs w:val="22"/>
              </w:rPr>
              <w:t>the salary and additional pay will be turned </w:t>
            </w:r>
            <w:r w:rsidRPr="005B19F6">
              <w:rPr>
                <w:b/>
                <w:bCs/>
                <w:color w:val="222222"/>
                <w:sz w:val="22"/>
                <w:szCs w:val="22"/>
              </w:rPr>
              <w:t>on</w:t>
            </w:r>
            <w:r w:rsidRPr="005B19F6">
              <w:rPr>
                <w:color w:val="222222"/>
                <w:sz w:val="22"/>
                <w:szCs w:val="22"/>
              </w:rPr>
              <w:t> for the entire pay period.  A SPOT transaction must be keyed to REDUCE the regular pay for the portion of the pay period the employee was on leave.  Additional Pay will process and should be reviewed for applicable SPOT adjustments.</w:t>
            </w:r>
          </w:p>
          <w:p w:rsidR="00231393" w:rsidRPr="005B19F6" w:rsidRDefault="00231393" w:rsidP="00DB22C8">
            <w:pPr>
              <w:shd w:val="clear" w:color="auto" w:fill="FFFFFF"/>
              <w:rPr>
                <w:color w:val="222222"/>
                <w:sz w:val="22"/>
                <w:szCs w:val="22"/>
              </w:rPr>
            </w:pPr>
          </w:p>
          <w:p w:rsidR="00954D75" w:rsidRPr="005B19F6" w:rsidRDefault="00954D75" w:rsidP="00DB22C8">
            <w:pPr>
              <w:shd w:val="clear" w:color="auto" w:fill="FFFFFF"/>
              <w:rPr>
                <w:color w:val="222222"/>
                <w:sz w:val="22"/>
                <w:szCs w:val="22"/>
              </w:rPr>
            </w:pPr>
            <w:r w:rsidRPr="005B19F6">
              <w:rPr>
                <w:color w:val="222222"/>
                <w:sz w:val="22"/>
                <w:szCs w:val="22"/>
              </w:rPr>
              <w:t>Cardinal job aids will be updated to reflect this change and reports/queries will be modified to include this field.</w:t>
            </w:r>
          </w:p>
        </w:tc>
      </w:tr>
    </w:tbl>
    <w:p w:rsidR="00C6337F" w:rsidRDefault="00C6337F" w:rsidP="00B3001A">
      <w:pPr>
        <w:rPr>
          <w:sz w:val="16"/>
          <w:szCs w:val="16"/>
        </w:rPr>
      </w:pPr>
    </w:p>
    <w:p w:rsidR="003857CD" w:rsidRPr="002C051D" w:rsidRDefault="007C13DE" w:rsidP="003857CD">
      <w:pPr>
        <w:pStyle w:val="ContinuedOnNextPa"/>
        <w:pBdr>
          <w:top w:val="single" w:sz="6" w:space="0" w:color="auto"/>
        </w:pBdr>
        <w:rPr>
          <w:i w:val="0"/>
        </w:rPr>
      </w:pPr>
      <w:r>
        <w:tab/>
      </w:r>
      <w:r>
        <w:tab/>
      </w:r>
    </w:p>
    <w:sectPr w:rsidR="003857CD" w:rsidRPr="002C051D" w:rsidSect="00D908DF">
      <w:headerReference w:type="default" r:id="rId9"/>
      <w:footerReference w:type="default" r:id="rId10"/>
      <w:pgSz w:w="12240" w:h="15840" w:code="1"/>
      <w:pgMar w:top="720" w:right="1152" w:bottom="90" w:left="1152"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8F" w:rsidRDefault="00C05D8F">
      <w:r>
        <w:separator/>
      </w:r>
    </w:p>
  </w:endnote>
  <w:endnote w:type="continuationSeparator" w:id="0">
    <w:p w:rsidR="00C05D8F" w:rsidRDefault="00C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Pr="00D908DF" w:rsidRDefault="00CA1614" w:rsidP="00C57D24">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D908DF">
      <w:rPr>
        <w:rStyle w:val="PageNumber"/>
        <w:snapToGrid w:val="0"/>
        <w:sz w:val="18"/>
        <w:szCs w:val="18"/>
      </w:rPr>
      <w:t xml:space="preserve">Page </w:t>
    </w:r>
    <w:r w:rsidR="005964A7" w:rsidRPr="00D908DF">
      <w:rPr>
        <w:rStyle w:val="PageNumber"/>
        <w:sz w:val="18"/>
        <w:szCs w:val="18"/>
      </w:rPr>
      <w:fldChar w:fldCharType="begin"/>
    </w:r>
    <w:r w:rsidRPr="00D908DF">
      <w:rPr>
        <w:rStyle w:val="PageNumber"/>
        <w:sz w:val="18"/>
        <w:szCs w:val="18"/>
      </w:rPr>
      <w:instrText xml:space="preserve"> PAGE </w:instrText>
    </w:r>
    <w:r w:rsidR="005964A7" w:rsidRPr="00D908DF">
      <w:rPr>
        <w:rStyle w:val="PageNumber"/>
        <w:sz w:val="18"/>
        <w:szCs w:val="18"/>
      </w:rPr>
      <w:fldChar w:fldCharType="separate"/>
    </w:r>
    <w:r w:rsidR="00357595">
      <w:rPr>
        <w:rStyle w:val="PageNumber"/>
        <w:noProof/>
        <w:sz w:val="18"/>
        <w:szCs w:val="18"/>
      </w:rPr>
      <w:t>2</w:t>
    </w:r>
    <w:r w:rsidR="005964A7" w:rsidRPr="00D908DF">
      <w:rPr>
        <w:rStyle w:val="PageNumber"/>
        <w:sz w:val="18"/>
        <w:szCs w:val="18"/>
      </w:rPr>
      <w:fldChar w:fldCharType="end"/>
    </w:r>
    <w:r w:rsidRPr="00D908DF">
      <w:rPr>
        <w:rStyle w:val="PageNumber"/>
        <w:snapToGrid w:val="0"/>
        <w:sz w:val="18"/>
        <w:szCs w:val="18"/>
      </w:rPr>
      <w:t xml:space="preserve"> of </w:t>
    </w:r>
    <w:r w:rsidR="005964A7" w:rsidRPr="00D908DF">
      <w:rPr>
        <w:rStyle w:val="PageNumber"/>
        <w:sz w:val="18"/>
        <w:szCs w:val="18"/>
      </w:rPr>
      <w:fldChar w:fldCharType="begin"/>
    </w:r>
    <w:r w:rsidRPr="00D908DF">
      <w:rPr>
        <w:rStyle w:val="PageNumber"/>
        <w:sz w:val="18"/>
        <w:szCs w:val="18"/>
      </w:rPr>
      <w:instrText xml:space="preserve"> NUMPAGES </w:instrText>
    </w:r>
    <w:r w:rsidR="005964A7" w:rsidRPr="00D908DF">
      <w:rPr>
        <w:rStyle w:val="PageNumber"/>
        <w:sz w:val="18"/>
        <w:szCs w:val="18"/>
      </w:rPr>
      <w:fldChar w:fldCharType="separate"/>
    </w:r>
    <w:r w:rsidR="00357595">
      <w:rPr>
        <w:rStyle w:val="PageNumber"/>
        <w:noProof/>
        <w:sz w:val="18"/>
        <w:szCs w:val="18"/>
      </w:rPr>
      <w:t>2</w:t>
    </w:r>
    <w:r w:rsidR="005964A7" w:rsidRPr="00D908DF">
      <w:rPr>
        <w:rStyle w:val="PageNumber"/>
        <w:sz w:val="18"/>
        <w:szCs w:val="18"/>
      </w:rPr>
      <w:fldChar w:fldCharType="end"/>
    </w:r>
  </w:p>
  <w:p w:rsidR="00CA1614" w:rsidRPr="00D908DF" w:rsidRDefault="00B03969" w:rsidP="00C57D24">
    <w:pPr>
      <w:pStyle w:val="NormalWeb"/>
      <w:jc w:val="center"/>
      <w:rPr>
        <w:rFonts w:ascii="Times New Roman" w:hAnsi="Times New Roman"/>
        <w:i/>
        <w:snapToGrid w:val="0"/>
      </w:rPr>
    </w:pPr>
    <w:hyperlink r:id="rId1" w:tooltip="http://www.doa.virginia.gov/Payroll/Payroll_Bulletins/Payroll_Bulletins_Main.cfm" w:history="1">
      <w:r w:rsidR="00CA1614" w:rsidRPr="00D908DF">
        <w:rPr>
          <w:rStyle w:val="Hyperlink"/>
          <w:rFonts w:ascii="Times New Roman" w:hAnsi="Times New Roman"/>
          <w:i/>
          <w:iCs/>
          <w:snapToGrid w:val="0"/>
          <w:color w:val="auto"/>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8F" w:rsidRDefault="00C05D8F">
      <w:r>
        <w:separator/>
      </w:r>
    </w:p>
  </w:footnote>
  <w:footnote w:type="continuationSeparator" w:id="0">
    <w:p w:rsidR="00C05D8F" w:rsidRDefault="00C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rsidTr="00A97993">
      <w:trPr>
        <w:cantSplit/>
      </w:trPr>
      <w:tc>
        <w:tcPr>
          <w:tcW w:w="3366" w:type="dxa"/>
          <w:tcBorders>
            <w:bottom w:val="double" w:sz="6" w:space="0" w:color="auto"/>
          </w:tcBorders>
        </w:tcPr>
        <w:p w:rsidR="00CA1614" w:rsidRDefault="00CA1614" w:rsidP="00276F66">
          <w:pPr>
            <w:pStyle w:val="Header"/>
            <w:rPr>
              <w:b/>
              <w:sz w:val="20"/>
            </w:rPr>
          </w:pPr>
          <w:r>
            <w:rPr>
              <w:b/>
              <w:sz w:val="20"/>
            </w:rPr>
            <w:t xml:space="preserve">Calendar Year </w:t>
          </w:r>
          <w:r w:rsidR="00CB1857">
            <w:rPr>
              <w:b/>
              <w:sz w:val="20"/>
            </w:rPr>
            <w:t>202</w:t>
          </w:r>
          <w:r w:rsidR="00276F66">
            <w:rPr>
              <w:b/>
              <w:sz w:val="20"/>
            </w:rPr>
            <w:t>2</w:t>
          </w:r>
        </w:p>
      </w:tc>
      <w:tc>
        <w:tcPr>
          <w:tcW w:w="3366" w:type="dxa"/>
          <w:tcBorders>
            <w:bottom w:val="double" w:sz="6" w:space="0" w:color="auto"/>
          </w:tcBorders>
        </w:tcPr>
        <w:p w:rsidR="00CA1614" w:rsidRDefault="00E062A0" w:rsidP="008228D8">
          <w:pPr>
            <w:pStyle w:val="Header"/>
            <w:jc w:val="center"/>
            <w:rPr>
              <w:b/>
              <w:sz w:val="20"/>
            </w:rPr>
          </w:pPr>
          <w:r>
            <w:rPr>
              <w:b/>
              <w:sz w:val="20"/>
            </w:rPr>
            <w:t>Ju</w:t>
          </w:r>
          <w:r w:rsidR="00276F66">
            <w:rPr>
              <w:b/>
              <w:sz w:val="20"/>
            </w:rPr>
            <w:t>ly</w:t>
          </w:r>
          <w:r>
            <w:rPr>
              <w:b/>
              <w:sz w:val="20"/>
            </w:rPr>
            <w:t xml:space="preserve"> </w:t>
          </w:r>
          <w:r w:rsidR="008B76F0">
            <w:rPr>
              <w:b/>
              <w:sz w:val="20"/>
            </w:rPr>
            <w:t>1</w:t>
          </w:r>
          <w:r w:rsidR="008228D8">
            <w:rPr>
              <w:b/>
              <w:sz w:val="20"/>
            </w:rPr>
            <w:t>3</w:t>
          </w:r>
          <w:r>
            <w:rPr>
              <w:b/>
              <w:sz w:val="20"/>
            </w:rPr>
            <w:t xml:space="preserve">, </w:t>
          </w:r>
          <w:r w:rsidR="00CB1857">
            <w:rPr>
              <w:b/>
              <w:sz w:val="20"/>
            </w:rPr>
            <w:t>202</w:t>
          </w:r>
          <w:r w:rsidR="00276F66">
            <w:rPr>
              <w:b/>
              <w:sz w:val="20"/>
            </w:rPr>
            <w:t>2</w:t>
          </w:r>
        </w:p>
      </w:tc>
      <w:tc>
        <w:tcPr>
          <w:tcW w:w="3456" w:type="dxa"/>
          <w:tcBorders>
            <w:bottom w:val="double" w:sz="6" w:space="0" w:color="auto"/>
          </w:tcBorders>
        </w:tcPr>
        <w:p w:rsidR="00CA1614" w:rsidRDefault="00CA1614" w:rsidP="009E4069">
          <w:pPr>
            <w:pStyle w:val="Header"/>
            <w:jc w:val="right"/>
            <w:rPr>
              <w:b/>
              <w:sz w:val="20"/>
            </w:rPr>
          </w:pPr>
          <w:r>
            <w:rPr>
              <w:b/>
              <w:sz w:val="20"/>
            </w:rPr>
            <w:t xml:space="preserve">Volume </w:t>
          </w:r>
          <w:r w:rsidR="00CB1857">
            <w:rPr>
              <w:b/>
              <w:sz w:val="20"/>
            </w:rPr>
            <w:t>202</w:t>
          </w:r>
          <w:r w:rsidR="00276F66">
            <w:rPr>
              <w:b/>
              <w:sz w:val="20"/>
            </w:rPr>
            <w:t>2</w:t>
          </w:r>
          <w:r>
            <w:rPr>
              <w:b/>
              <w:sz w:val="20"/>
            </w:rPr>
            <w:t>-0</w:t>
          </w:r>
          <w:r w:rsidR="009E4069">
            <w:rPr>
              <w:b/>
              <w:sz w:val="20"/>
            </w:rPr>
            <w:t>9</w:t>
          </w:r>
        </w:p>
      </w:tc>
    </w:tr>
  </w:tbl>
  <w:p w:rsidR="00CA1614" w:rsidRDefault="00C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33597"/>
    <w:multiLevelType w:val="hybridMultilevel"/>
    <w:tmpl w:val="2A3C87A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 w15:restartNumberingAfterBreak="0">
    <w:nsid w:val="25D879E1"/>
    <w:multiLevelType w:val="hybridMultilevel"/>
    <w:tmpl w:val="DA8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54856"/>
    <w:multiLevelType w:val="hybridMultilevel"/>
    <w:tmpl w:val="7EFE6ED6"/>
    <w:lvl w:ilvl="0" w:tplc="A27C129E">
      <w:start w:val="202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C5B1CEB"/>
    <w:multiLevelType w:val="hybridMultilevel"/>
    <w:tmpl w:val="507E4592"/>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9"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10" w15:restartNumberingAfterBreak="0">
    <w:nsid w:val="7F5839DA"/>
    <w:multiLevelType w:val="hybridMultilevel"/>
    <w:tmpl w:val="34EC9B4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3"/>
  </w:num>
  <w:num w:numId="6">
    <w:abstractNumId w:val="6"/>
  </w:num>
  <w:num w:numId="7">
    <w:abstractNumId w:val="7"/>
  </w:num>
  <w:num w:numId="8">
    <w:abstractNumId w:val="10"/>
  </w:num>
  <w:num w:numId="9">
    <w:abstractNumId w:val="8"/>
  </w:num>
  <w:num w:numId="10">
    <w:abstractNumId w:val="1"/>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04BB0"/>
    <w:rsid w:val="00012A00"/>
    <w:rsid w:val="00014DB8"/>
    <w:rsid w:val="000209CA"/>
    <w:rsid w:val="000229A0"/>
    <w:rsid w:val="00043BD6"/>
    <w:rsid w:val="00054804"/>
    <w:rsid w:val="000548D8"/>
    <w:rsid w:val="0005707C"/>
    <w:rsid w:val="000624FE"/>
    <w:rsid w:val="00070795"/>
    <w:rsid w:val="0007530F"/>
    <w:rsid w:val="00082E11"/>
    <w:rsid w:val="000938AD"/>
    <w:rsid w:val="00096BDC"/>
    <w:rsid w:val="000A3E0D"/>
    <w:rsid w:val="000B28B1"/>
    <w:rsid w:val="000C68B5"/>
    <w:rsid w:val="000C7154"/>
    <w:rsid w:val="000D0C78"/>
    <w:rsid w:val="000D74B2"/>
    <w:rsid w:val="000E78C4"/>
    <w:rsid w:val="000F46A6"/>
    <w:rsid w:val="0010004E"/>
    <w:rsid w:val="00120A22"/>
    <w:rsid w:val="00121F17"/>
    <w:rsid w:val="00142D4F"/>
    <w:rsid w:val="001455A7"/>
    <w:rsid w:val="00145C24"/>
    <w:rsid w:val="00145CE4"/>
    <w:rsid w:val="00151C52"/>
    <w:rsid w:val="0016040B"/>
    <w:rsid w:val="001606F6"/>
    <w:rsid w:val="0017568D"/>
    <w:rsid w:val="001834DC"/>
    <w:rsid w:val="001855DF"/>
    <w:rsid w:val="00186D13"/>
    <w:rsid w:val="001908BF"/>
    <w:rsid w:val="00192D99"/>
    <w:rsid w:val="00196E82"/>
    <w:rsid w:val="001A76D1"/>
    <w:rsid w:val="001A7CC7"/>
    <w:rsid w:val="001D5647"/>
    <w:rsid w:val="001D79E3"/>
    <w:rsid w:val="001E07BF"/>
    <w:rsid w:val="001E2A32"/>
    <w:rsid w:val="001E3CD4"/>
    <w:rsid w:val="001E48DF"/>
    <w:rsid w:val="002004BF"/>
    <w:rsid w:val="00201AC5"/>
    <w:rsid w:val="002066C6"/>
    <w:rsid w:val="0021369D"/>
    <w:rsid w:val="002145D4"/>
    <w:rsid w:val="00224F21"/>
    <w:rsid w:val="0022524D"/>
    <w:rsid w:val="00226EB6"/>
    <w:rsid w:val="00231393"/>
    <w:rsid w:val="00236ED6"/>
    <w:rsid w:val="002431D0"/>
    <w:rsid w:val="0024614F"/>
    <w:rsid w:val="002544F2"/>
    <w:rsid w:val="002556AC"/>
    <w:rsid w:val="00267884"/>
    <w:rsid w:val="0027418E"/>
    <w:rsid w:val="0027465D"/>
    <w:rsid w:val="00276F66"/>
    <w:rsid w:val="00282B95"/>
    <w:rsid w:val="00282CD8"/>
    <w:rsid w:val="00284B3E"/>
    <w:rsid w:val="00294BD1"/>
    <w:rsid w:val="002A523D"/>
    <w:rsid w:val="002B566E"/>
    <w:rsid w:val="002B6B60"/>
    <w:rsid w:val="002C051D"/>
    <w:rsid w:val="002C217F"/>
    <w:rsid w:val="002C3142"/>
    <w:rsid w:val="002C679F"/>
    <w:rsid w:val="002D27FC"/>
    <w:rsid w:val="002F09D7"/>
    <w:rsid w:val="002F6315"/>
    <w:rsid w:val="002F7063"/>
    <w:rsid w:val="00304AD9"/>
    <w:rsid w:val="0030589E"/>
    <w:rsid w:val="00307DE8"/>
    <w:rsid w:val="00310568"/>
    <w:rsid w:val="003211DF"/>
    <w:rsid w:val="00321667"/>
    <w:rsid w:val="00333FFF"/>
    <w:rsid w:val="003428B4"/>
    <w:rsid w:val="00357595"/>
    <w:rsid w:val="00357B76"/>
    <w:rsid w:val="0036127F"/>
    <w:rsid w:val="00363289"/>
    <w:rsid w:val="00374978"/>
    <w:rsid w:val="003857CD"/>
    <w:rsid w:val="003A1E02"/>
    <w:rsid w:val="003B09C4"/>
    <w:rsid w:val="003B0EC9"/>
    <w:rsid w:val="003B27B7"/>
    <w:rsid w:val="003B2B96"/>
    <w:rsid w:val="003B54DA"/>
    <w:rsid w:val="003C2DBC"/>
    <w:rsid w:val="003D27B3"/>
    <w:rsid w:val="003D6CB6"/>
    <w:rsid w:val="003E210F"/>
    <w:rsid w:val="003E3ABB"/>
    <w:rsid w:val="003E5F66"/>
    <w:rsid w:val="003E6672"/>
    <w:rsid w:val="003F56A1"/>
    <w:rsid w:val="003F60B3"/>
    <w:rsid w:val="004029E1"/>
    <w:rsid w:val="00402E35"/>
    <w:rsid w:val="00405795"/>
    <w:rsid w:val="004072E7"/>
    <w:rsid w:val="0041061D"/>
    <w:rsid w:val="00411394"/>
    <w:rsid w:val="0041326B"/>
    <w:rsid w:val="00415768"/>
    <w:rsid w:val="00422C2E"/>
    <w:rsid w:val="0042736C"/>
    <w:rsid w:val="00443137"/>
    <w:rsid w:val="004454CA"/>
    <w:rsid w:val="00467F3A"/>
    <w:rsid w:val="00484094"/>
    <w:rsid w:val="00495C2F"/>
    <w:rsid w:val="004A11AF"/>
    <w:rsid w:val="004A18BA"/>
    <w:rsid w:val="004A1959"/>
    <w:rsid w:val="004A600E"/>
    <w:rsid w:val="004B2EDB"/>
    <w:rsid w:val="004B400A"/>
    <w:rsid w:val="004D023C"/>
    <w:rsid w:val="004F1DA8"/>
    <w:rsid w:val="004F5173"/>
    <w:rsid w:val="005059D8"/>
    <w:rsid w:val="00511428"/>
    <w:rsid w:val="0052470A"/>
    <w:rsid w:val="00545EED"/>
    <w:rsid w:val="005464B5"/>
    <w:rsid w:val="0056085F"/>
    <w:rsid w:val="00562AD7"/>
    <w:rsid w:val="005668A2"/>
    <w:rsid w:val="00573015"/>
    <w:rsid w:val="00574539"/>
    <w:rsid w:val="005759A7"/>
    <w:rsid w:val="00580FA8"/>
    <w:rsid w:val="00586656"/>
    <w:rsid w:val="005914E1"/>
    <w:rsid w:val="00595482"/>
    <w:rsid w:val="005964A7"/>
    <w:rsid w:val="005A2EF4"/>
    <w:rsid w:val="005A7200"/>
    <w:rsid w:val="005B02B3"/>
    <w:rsid w:val="005B079D"/>
    <w:rsid w:val="005B19F6"/>
    <w:rsid w:val="005B19FE"/>
    <w:rsid w:val="005B3E5E"/>
    <w:rsid w:val="005B7490"/>
    <w:rsid w:val="005C1612"/>
    <w:rsid w:val="005C6178"/>
    <w:rsid w:val="005C6211"/>
    <w:rsid w:val="005D49E7"/>
    <w:rsid w:val="005F0ADA"/>
    <w:rsid w:val="005F11CB"/>
    <w:rsid w:val="005F1B4E"/>
    <w:rsid w:val="005F5734"/>
    <w:rsid w:val="006015AA"/>
    <w:rsid w:val="00604F07"/>
    <w:rsid w:val="00605949"/>
    <w:rsid w:val="00607426"/>
    <w:rsid w:val="0061087F"/>
    <w:rsid w:val="00615CC4"/>
    <w:rsid w:val="006243D3"/>
    <w:rsid w:val="00625AD5"/>
    <w:rsid w:val="006376CF"/>
    <w:rsid w:val="00641837"/>
    <w:rsid w:val="00663266"/>
    <w:rsid w:val="00664170"/>
    <w:rsid w:val="00666FEE"/>
    <w:rsid w:val="0067449B"/>
    <w:rsid w:val="00690402"/>
    <w:rsid w:val="006942AD"/>
    <w:rsid w:val="00696D82"/>
    <w:rsid w:val="006A11B7"/>
    <w:rsid w:val="006A4DFF"/>
    <w:rsid w:val="006B0987"/>
    <w:rsid w:val="006B0D00"/>
    <w:rsid w:val="006C1C76"/>
    <w:rsid w:val="006C39A4"/>
    <w:rsid w:val="006C3D85"/>
    <w:rsid w:val="006D4792"/>
    <w:rsid w:val="006E1019"/>
    <w:rsid w:val="006E39C8"/>
    <w:rsid w:val="006F21CF"/>
    <w:rsid w:val="006F71BA"/>
    <w:rsid w:val="006F72CA"/>
    <w:rsid w:val="00700615"/>
    <w:rsid w:val="00703D09"/>
    <w:rsid w:val="00713C0F"/>
    <w:rsid w:val="00714FE1"/>
    <w:rsid w:val="007161BC"/>
    <w:rsid w:val="007174A5"/>
    <w:rsid w:val="00720944"/>
    <w:rsid w:val="00733BAD"/>
    <w:rsid w:val="007410A9"/>
    <w:rsid w:val="00763A54"/>
    <w:rsid w:val="00767085"/>
    <w:rsid w:val="007750D1"/>
    <w:rsid w:val="00791463"/>
    <w:rsid w:val="0079507B"/>
    <w:rsid w:val="00795E38"/>
    <w:rsid w:val="007A1CB6"/>
    <w:rsid w:val="007A39C2"/>
    <w:rsid w:val="007A45E6"/>
    <w:rsid w:val="007A6CA6"/>
    <w:rsid w:val="007B0A26"/>
    <w:rsid w:val="007B0F71"/>
    <w:rsid w:val="007B5E26"/>
    <w:rsid w:val="007C13DE"/>
    <w:rsid w:val="007C4D8A"/>
    <w:rsid w:val="007D253D"/>
    <w:rsid w:val="007D58FF"/>
    <w:rsid w:val="007E70AD"/>
    <w:rsid w:val="007F5B28"/>
    <w:rsid w:val="00801B20"/>
    <w:rsid w:val="00811085"/>
    <w:rsid w:val="00813465"/>
    <w:rsid w:val="00813664"/>
    <w:rsid w:val="008228D8"/>
    <w:rsid w:val="00832A6E"/>
    <w:rsid w:val="008352BB"/>
    <w:rsid w:val="00847524"/>
    <w:rsid w:val="008578F5"/>
    <w:rsid w:val="008601F2"/>
    <w:rsid w:val="008605E3"/>
    <w:rsid w:val="00866D8C"/>
    <w:rsid w:val="008869DA"/>
    <w:rsid w:val="00887AAA"/>
    <w:rsid w:val="00890110"/>
    <w:rsid w:val="008A0C0D"/>
    <w:rsid w:val="008A1F54"/>
    <w:rsid w:val="008A2CC1"/>
    <w:rsid w:val="008B018E"/>
    <w:rsid w:val="008B76F0"/>
    <w:rsid w:val="008C46BD"/>
    <w:rsid w:val="008C532E"/>
    <w:rsid w:val="008D08E6"/>
    <w:rsid w:val="008D453C"/>
    <w:rsid w:val="008E4970"/>
    <w:rsid w:val="008E4B21"/>
    <w:rsid w:val="008E75C6"/>
    <w:rsid w:val="008E79A4"/>
    <w:rsid w:val="008F0883"/>
    <w:rsid w:val="008F7BB9"/>
    <w:rsid w:val="008F7C92"/>
    <w:rsid w:val="00900846"/>
    <w:rsid w:val="00905374"/>
    <w:rsid w:val="00906909"/>
    <w:rsid w:val="00907BA9"/>
    <w:rsid w:val="00907D28"/>
    <w:rsid w:val="009170A0"/>
    <w:rsid w:val="00923A80"/>
    <w:rsid w:val="00926D59"/>
    <w:rsid w:val="009324ED"/>
    <w:rsid w:val="009446A6"/>
    <w:rsid w:val="00946683"/>
    <w:rsid w:val="00952C2D"/>
    <w:rsid w:val="00954D75"/>
    <w:rsid w:val="0097229C"/>
    <w:rsid w:val="009757B2"/>
    <w:rsid w:val="009825D3"/>
    <w:rsid w:val="0099065A"/>
    <w:rsid w:val="00993D57"/>
    <w:rsid w:val="00996E78"/>
    <w:rsid w:val="009A1992"/>
    <w:rsid w:val="009A1BC5"/>
    <w:rsid w:val="009A1ED1"/>
    <w:rsid w:val="009A5B7F"/>
    <w:rsid w:val="009B12EC"/>
    <w:rsid w:val="009D4E40"/>
    <w:rsid w:val="009D605A"/>
    <w:rsid w:val="009E4069"/>
    <w:rsid w:val="009E5B20"/>
    <w:rsid w:val="009E62D7"/>
    <w:rsid w:val="009E6831"/>
    <w:rsid w:val="009F1038"/>
    <w:rsid w:val="009F7CC0"/>
    <w:rsid w:val="00A035A9"/>
    <w:rsid w:val="00A072AC"/>
    <w:rsid w:val="00A166BA"/>
    <w:rsid w:val="00A25262"/>
    <w:rsid w:val="00A302AF"/>
    <w:rsid w:val="00A33753"/>
    <w:rsid w:val="00A3416F"/>
    <w:rsid w:val="00A3637D"/>
    <w:rsid w:val="00A50814"/>
    <w:rsid w:val="00A51427"/>
    <w:rsid w:val="00A62F12"/>
    <w:rsid w:val="00A652B4"/>
    <w:rsid w:val="00A72E8A"/>
    <w:rsid w:val="00A76438"/>
    <w:rsid w:val="00A7780F"/>
    <w:rsid w:val="00A8048D"/>
    <w:rsid w:val="00A9101F"/>
    <w:rsid w:val="00A92C66"/>
    <w:rsid w:val="00A9396D"/>
    <w:rsid w:val="00A94B4A"/>
    <w:rsid w:val="00A97993"/>
    <w:rsid w:val="00AA24CF"/>
    <w:rsid w:val="00AB148F"/>
    <w:rsid w:val="00AC21E2"/>
    <w:rsid w:val="00AC2383"/>
    <w:rsid w:val="00AD06ED"/>
    <w:rsid w:val="00AD1D8A"/>
    <w:rsid w:val="00AD453C"/>
    <w:rsid w:val="00AD77F3"/>
    <w:rsid w:val="00AE05F0"/>
    <w:rsid w:val="00AE0AA4"/>
    <w:rsid w:val="00AE4277"/>
    <w:rsid w:val="00B00670"/>
    <w:rsid w:val="00B027AD"/>
    <w:rsid w:val="00B03969"/>
    <w:rsid w:val="00B13AB8"/>
    <w:rsid w:val="00B1476F"/>
    <w:rsid w:val="00B15C03"/>
    <w:rsid w:val="00B3001A"/>
    <w:rsid w:val="00B32AE2"/>
    <w:rsid w:val="00B377F5"/>
    <w:rsid w:val="00B37C23"/>
    <w:rsid w:val="00B40842"/>
    <w:rsid w:val="00B437F3"/>
    <w:rsid w:val="00B460C2"/>
    <w:rsid w:val="00B532BA"/>
    <w:rsid w:val="00B56B84"/>
    <w:rsid w:val="00B56C4E"/>
    <w:rsid w:val="00B84CB0"/>
    <w:rsid w:val="00B87D23"/>
    <w:rsid w:val="00B92227"/>
    <w:rsid w:val="00B93547"/>
    <w:rsid w:val="00BA0A2C"/>
    <w:rsid w:val="00BA2F1B"/>
    <w:rsid w:val="00BA60BC"/>
    <w:rsid w:val="00BA66C6"/>
    <w:rsid w:val="00BB1E81"/>
    <w:rsid w:val="00BC313F"/>
    <w:rsid w:val="00BC7496"/>
    <w:rsid w:val="00BD40FD"/>
    <w:rsid w:val="00BD7636"/>
    <w:rsid w:val="00BD79A3"/>
    <w:rsid w:val="00BE7D88"/>
    <w:rsid w:val="00BF068C"/>
    <w:rsid w:val="00BF3FCC"/>
    <w:rsid w:val="00C009EA"/>
    <w:rsid w:val="00C05D8F"/>
    <w:rsid w:val="00C11B29"/>
    <w:rsid w:val="00C12718"/>
    <w:rsid w:val="00C238E2"/>
    <w:rsid w:val="00C2408E"/>
    <w:rsid w:val="00C278C3"/>
    <w:rsid w:val="00C3692E"/>
    <w:rsid w:val="00C452D1"/>
    <w:rsid w:val="00C45485"/>
    <w:rsid w:val="00C50ADB"/>
    <w:rsid w:val="00C511B8"/>
    <w:rsid w:val="00C520C1"/>
    <w:rsid w:val="00C5471B"/>
    <w:rsid w:val="00C54930"/>
    <w:rsid w:val="00C55E26"/>
    <w:rsid w:val="00C57D24"/>
    <w:rsid w:val="00C6337F"/>
    <w:rsid w:val="00C63DA8"/>
    <w:rsid w:val="00C64B98"/>
    <w:rsid w:val="00C74456"/>
    <w:rsid w:val="00C753A7"/>
    <w:rsid w:val="00C77BA6"/>
    <w:rsid w:val="00CA02E2"/>
    <w:rsid w:val="00CA1614"/>
    <w:rsid w:val="00CA546D"/>
    <w:rsid w:val="00CB0FD2"/>
    <w:rsid w:val="00CB1857"/>
    <w:rsid w:val="00CC3EF5"/>
    <w:rsid w:val="00CD3254"/>
    <w:rsid w:val="00CD4B3F"/>
    <w:rsid w:val="00CE18D8"/>
    <w:rsid w:val="00CE2BF4"/>
    <w:rsid w:val="00CE5E54"/>
    <w:rsid w:val="00CF4479"/>
    <w:rsid w:val="00CF5444"/>
    <w:rsid w:val="00D0772A"/>
    <w:rsid w:val="00D16D84"/>
    <w:rsid w:val="00D2043C"/>
    <w:rsid w:val="00D23F49"/>
    <w:rsid w:val="00D24E49"/>
    <w:rsid w:val="00D26CA0"/>
    <w:rsid w:val="00D32175"/>
    <w:rsid w:val="00D35005"/>
    <w:rsid w:val="00D355DD"/>
    <w:rsid w:val="00D360B5"/>
    <w:rsid w:val="00D36665"/>
    <w:rsid w:val="00D46EA3"/>
    <w:rsid w:val="00D548AF"/>
    <w:rsid w:val="00D7413B"/>
    <w:rsid w:val="00D76406"/>
    <w:rsid w:val="00D8041A"/>
    <w:rsid w:val="00D814ED"/>
    <w:rsid w:val="00D8672D"/>
    <w:rsid w:val="00D908DF"/>
    <w:rsid w:val="00D91CF8"/>
    <w:rsid w:val="00D93B92"/>
    <w:rsid w:val="00D96E2A"/>
    <w:rsid w:val="00DA1375"/>
    <w:rsid w:val="00DA1983"/>
    <w:rsid w:val="00DB218B"/>
    <w:rsid w:val="00DB22C8"/>
    <w:rsid w:val="00DB4DE8"/>
    <w:rsid w:val="00DC01C0"/>
    <w:rsid w:val="00DC0737"/>
    <w:rsid w:val="00DD1147"/>
    <w:rsid w:val="00DD1A6E"/>
    <w:rsid w:val="00DE0E60"/>
    <w:rsid w:val="00DF4DE7"/>
    <w:rsid w:val="00E02938"/>
    <w:rsid w:val="00E03297"/>
    <w:rsid w:val="00E062A0"/>
    <w:rsid w:val="00E063C8"/>
    <w:rsid w:val="00E11592"/>
    <w:rsid w:val="00E122B7"/>
    <w:rsid w:val="00E240DA"/>
    <w:rsid w:val="00E278AD"/>
    <w:rsid w:val="00E3336E"/>
    <w:rsid w:val="00E46605"/>
    <w:rsid w:val="00E528D8"/>
    <w:rsid w:val="00E563C9"/>
    <w:rsid w:val="00E64B6B"/>
    <w:rsid w:val="00E70344"/>
    <w:rsid w:val="00E72348"/>
    <w:rsid w:val="00E8444C"/>
    <w:rsid w:val="00E846A7"/>
    <w:rsid w:val="00E87A3D"/>
    <w:rsid w:val="00E91F74"/>
    <w:rsid w:val="00EA67F0"/>
    <w:rsid w:val="00EB773E"/>
    <w:rsid w:val="00EC46ED"/>
    <w:rsid w:val="00ED7A73"/>
    <w:rsid w:val="00EE0021"/>
    <w:rsid w:val="00EE5E09"/>
    <w:rsid w:val="00EF0B6E"/>
    <w:rsid w:val="00EF2B82"/>
    <w:rsid w:val="00EF3BA6"/>
    <w:rsid w:val="00EF414B"/>
    <w:rsid w:val="00F066FA"/>
    <w:rsid w:val="00F0707D"/>
    <w:rsid w:val="00F14FE6"/>
    <w:rsid w:val="00F215C2"/>
    <w:rsid w:val="00F32CE4"/>
    <w:rsid w:val="00F3320E"/>
    <w:rsid w:val="00F409E6"/>
    <w:rsid w:val="00F43DB3"/>
    <w:rsid w:val="00F54415"/>
    <w:rsid w:val="00F6322B"/>
    <w:rsid w:val="00F75979"/>
    <w:rsid w:val="00F81A28"/>
    <w:rsid w:val="00F84B23"/>
    <w:rsid w:val="00F866F0"/>
    <w:rsid w:val="00F878FB"/>
    <w:rsid w:val="00F90F63"/>
    <w:rsid w:val="00F94C7D"/>
    <w:rsid w:val="00F95DA3"/>
    <w:rsid w:val="00FA65B1"/>
    <w:rsid w:val="00FB28AA"/>
    <w:rsid w:val="00FC5FA7"/>
    <w:rsid w:val="00FC71E5"/>
    <w:rsid w:val="00FD0CDD"/>
    <w:rsid w:val="00FD0E6C"/>
    <w:rsid w:val="00FD1575"/>
    <w:rsid w:val="00FD187D"/>
    <w:rsid w:val="00FD41D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5A4D81"/>
  <w15:docId w15:val="{231103B8-375E-4B6D-9B97-D28669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9346">
      <w:bodyDiv w:val="1"/>
      <w:marLeft w:val="0"/>
      <w:marRight w:val="0"/>
      <w:marTop w:val="0"/>
      <w:marBottom w:val="0"/>
      <w:divBdr>
        <w:top w:val="none" w:sz="0" w:space="0" w:color="auto"/>
        <w:left w:val="none" w:sz="0" w:space="0" w:color="auto"/>
        <w:bottom w:val="none" w:sz="0" w:space="0" w:color="auto"/>
        <w:right w:val="none" w:sz="0" w:space="0" w:color="auto"/>
      </w:divBdr>
    </w:div>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27307614">
      <w:bodyDiv w:val="1"/>
      <w:marLeft w:val="0"/>
      <w:marRight w:val="0"/>
      <w:marTop w:val="0"/>
      <w:marBottom w:val="0"/>
      <w:divBdr>
        <w:top w:val="none" w:sz="0" w:space="0" w:color="auto"/>
        <w:left w:val="none" w:sz="0" w:space="0" w:color="auto"/>
        <w:bottom w:val="none" w:sz="0" w:space="0" w:color="auto"/>
        <w:right w:val="none" w:sz="0" w:space="0" w:color="auto"/>
      </w:divBdr>
      <w:divsChild>
        <w:div w:id="1207138949">
          <w:marLeft w:val="0"/>
          <w:marRight w:val="0"/>
          <w:marTop w:val="0"/>
          <w:marBottom w:val="0"/>
          <w:divBdr>
            <w:top w:val="none" w:sz="0" w:space="0" w:color="auto"/>
            <w:left w:val="none" w:sz="0" w:space="0" w:color="auto"/>
            <w:bottom w:val="none" w:sz="0" w:space="0" w:color="auto"/>
            <w:right w:val="none" w:sz="0" w:space="0" w:color="auto"/>
          </w:divBdr>
        </w:div>
      </w:divsChild>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749891680">
      <w:bodyDiv w:val="1"/>
      <w:marLeft w:val="0"/>
      <w:marRight w:val="0"/>
      <w:marTop w:val="0"/>
      <w:marBottom w:val="0"/>
      <w:divBdr>
        <w:top w:val="none" w:sz="0" w:space="0" w:color="auto"/>
        <w:left w:val="none" w:sz="0" w:space="0" w:color="auto"/>
        <w:bottom w:val="none" w:sz="0" w:space="0" w:color="auto"/>
        <w:right w:val="none" w:sz="0" w:space="0" w:color="auto"/>
      </w:divBdr>
      <w:divsChild>
        <w:div w:id="1570308575">
          <w:marLeft w:val="0"/>
          <w:marRight w:val="0"/>
          <w:marTop w:val="0"/>
          <w:marBottom w:val="0"/>
          <w:divBdr>
            <w:top w:val="none" w:sz="0" w:space="0" w:color="auto"/>
            <w:left w:val="none" w:sz="0" w:space="0" w:color="auto"/>
            <w:bottom w:val="none" w:sz="0" w:space="0" w:color="auto"/>
            <w:right w:val="none" w:sz="0" w:space="0" w:color="auto"/>
          </w:divBdr>
        </w:div>
        <w:div w:id="1614248261">
          <w:marLeft w:val="0"/>
          <w:marRight w:val="0"/>
          <w:marTop w:val="0"/>
          <w:marBottom w:val="0"/>
          <w:divBdr>
            <w:top w:val="none" w:sz="0" w:space="0" w:color="auto"/>
            <w:left w:val="none" w:sz="0" w:space="0" w:color="auto"/>
            <w:bottom w:val="none" w:sz="0" w:space="0" w:color="auto"/>
            <w:right w:val="none" w:sz="0" w:space="0" w:color="auto"/>
          </w:divBdr>
        </w:div>
        <w:div w:id="128474243">
          <w:marLeft w:val="0"/>
          <w:marRight w:val="0"/>
          <w:marTop w:val="0"/>
          <w:marBottom w:val="0"/>
          <w:divBdr>
            <w:top w:val="none" w:sz="0" w:space="0" w:color="auto"/>
            <w:left w:val="none" w:sz="0" w:space="0" w:color="auto"/>
            <w:bottom w:val="none" w:sz="0" w:space="0" w:color="auto"/>
            <w:right w:val="none" w:sz="0" w:space="0" w:color="auto"/>
          </w:divBdr>
        </w:div>
        <w:div w:id="616107545">
          <w:marLeft w:val="0"/>
          <w:marRight w:val="0"/>
          <w:marTop w:val="0"/>
          <w:marBottom w:val="0"/>
          <w:divBdr>
            <w:top w:val="none" w:sz="0" w:space="0" w:color="auto"/>
            <w:left w:val="none" w:sz="0" w:space="0" w:color="auto"/>
            <w:bottom w:val="none" w:sz="0" w:space="0" w:color="auto"/>
            <w:right w:val="none" w:sz="0" w:space="0" w:color="auto"/>
          </w:divBdr>
        </w:div>
        <w:div w:id="1532916539">
          <w:marLeft w:val="0"/>
          <w:marRight w:val="0"/>
          <w:marTop w:val="0"/>
          <w:marBottom w:val="0"/>
          <w:divBdr>
            <w:top w:val="none" w:sz="0" w:space="0" w:color="auto"/>
            <w:left w:val="none" w:sz="0" w:space="0" w:color="auto"/>
            <w:bottom w:val="none" w:sz="0" w:space="0" w:color="auto"/>
            <w:right w:val="none" w:sz="0" w:space="0" w:color="auto"/>
          </w:divBdr>
        </w:div>
        <w:div w:id="1500461466">
          <w:marLeft w:val="0"/>
          <w:marRight w:val="0"/>
          <w:marTop w:val="0"/>
          <w:marBottom w:val="0"/>
          <w:divBdr>
            <w:top w:val="none" w:sz="0" w:space="0" w:color="auto"/>
            <w:left w:val="none" w:sz="0" w:space="0" w:color="auto"/>
            <w:bottom w:val="none" w:sz="0" w:space="0" w:color="auto"/>
            <w:right w:val="none" w:sz="0" w:space="0" w:color="auto"/>
          </w:divBdr>
        </w:div>
        <w:div w:id="1553618062">
          <w:marLeft w:val="0"/>
          <w:marRight w:val="0"/>
          <w:marTop w:val="0"/>
          <w:marBottom w:val="0"/>
          <w:divBdr>
            <w:top w:val="none" w:sz="0" w:space="0" w:color="auto"/>
            <w:left w:val="none" w:sz="0" w:space="0" w:color="auto"/>
            <w:bottom w:val="none" w:sz="0" w:space="0" w:color="auto"/>
            <w:right w:val="none" w:sz="0" w:space="0" w:color="auto"/>
          </w:divBdr>
        </w:div>
        <w:div w:id="1694527078">
          <w:marLeft w:val="0"/>
          <w:marRight w:val="0"/>
          <w:marTop w:val="0"/>
          <w:marBottom w:val="0"/>
          <w:divBdr>
            <w:top w:val="none" w:sz="0" w:space="0" w:color="auto"/>
            <w:left w:val="none" w:sz="0" w:space="0" w:color="auto"/>
            <w:bottom w:val="none" w:sz="0" w:space="0" w:color="auto"/>
            <w:right w:val="none" w:sz="0" w:space="0" w:color="auto"/>
          </w:divBdr>
        </w:div>
        <w:div w:id="1920018316">
          <w:marLeft w:val="0"/>
          <w:marRight w:val="0"/>
          <w:marTop w:val="0"/>
          <w:marBottom w:val="0"/>
          <w:divBdr>
            <w:top w:val="none" w:sz="0" w:space="0" w:color="auto"/>
            <w:left w:val="none" w:sz="0" w:space="0" w:color="auto"/>
            <w:bottom w:val="none" w:sz="0" w:space="0" w:color="auto"/>
            <w:right w:val="none" w:sz="0" w:space="0" w:color="auto"/>
          </w:divBdr>
        </w:div>
      </w:divsChild>
    </w:div>
    <w:div w:id="855457422">
      <w:bodyDiv w:val="1"/>
      <w:marLeft w:val="0"/>
      <w:marRight w:val="0"/>
      <w:marTop w:val="0"/>
      <w:marBottom w:val="0"/>
      <w:divBdr>
        <w:top w:val="none" w:sz="0" w:space="0" w:color="auto"/>
        <w:left w:val="none" w:sz="0" w:space="0" w:color="auto"/>
        <w:bottom w:val="none" w:sz="0" w:space="0" w:color="auto"/>
        <w:right w:val="none" w:sz="0" w:space="0" w:color="auto"/>
      </w:divBdr>
      <w:divsChild>
        <w:div w:id="720590536">
          <w:marLeft w:val="0"/>
          <w:marRight w:val="0"/>
          <w:marTop w:val="0"/>
          <w:marBottom w:val="0"/>
          <w:divBdr>
            <w:top w:val="none" w:sz="0" w:space="0" w:color="auto"/>
            <w:left w:val="none" w:sz="0" w:space="0" w:color="auto"/>
            <w:bottom w:val="none" w:sz="0" w:space="0" w:color="auto"/>
            <w:right w:val="none" w:sz="0" w:space="0" w:color="auto"/>
          </w:divBdr>
        </w:div>
        <w:div w:id="1502772007">
          <w:marLeft w:val="0"/>
          <w:marRight w:val="0"/>
          <w:marTop w:val="0"/>
          <w:marBottom w:val="0"/>
          <w:divBdr>
            <w:top w:val="none" w:sz="0" w:space="0" w:color="auto"/>
            <w:left w:val="none" w:sz="0" w:space="0" w:color="auto"/>
            <w:bottom w:val="none" w:sz="0" w:space="0" w:color="auto"/>
            <w:right w:val="none" w:sz="0" w:space="0" w:color="auto"/>
          </w:divBdr>
        </w:div>
        <w:div w:id="761880286">
          <w:marLeft w:val="0"/>
          <w:marRight w:val="0"/>
          <w:marTop w:val="0"/>
          <w:marBottom w:val="0"/>
          <w:divBdr>
            <w:top w:val="none" w:sz="0" w:space="0" w:color="auto"/>
            <w:left w:val="none" w:sz="0" w:space="0" w:color="auto"/>
            <w:bottom w:val="none" w:sz="0" w:space="0" w:color="auto"/>
            <w:right w:val="none" w:sz="0" w:space="0" w:color="auto"/>
          </w:divBdr>
        </w:div>
        <w:div w:id="280184020">
          <w:marLeft w:val="0"/>
          <w:marRight w:val="0"/>
          <w:marTop w:val="0"/>
          <w:marBottom w:val="0"/>
          <w:divBdr>
            <w:top w:val="none" w:sz="0" w:space="0" w:color="auto"/>
            <w:left w:val="none" w:sz="0" w:space="0" w:color="auto"/>
            <w:bottom w:val="none" w:sz="0" w:space="0" w:color="auto"/>
            <w:right w:val="none" w:sz="0" w:space="0" w:color="auto"/>
          </w:divBdr>
        </w:div>
        <w:div w:id="195968845">
          <w:marLeft w:val="0"/>
          <w:marRight w:val="0"/>
          <w:marTop w:val="0"/>
          <w:marBottom w:val="0"/>
          <w:divBdr>
            <w:top w:val="none" w:sz="0" w:space="0" w:color="auto"/>
            <w:left w:val="none" w:sz="0" w:space="0" w:color="auto"/>
            <w:bottom w:val="none" w:sz="0" w:space="0" w:color="auto"/>
            <w:right w:val="none" w:sz="0" w:space="0" w:color="auto"/>
          </w:divBdr>
        </w:div>
        <w:div w:id="223565450">
          <w:marLeft w:val="0"/>
          <w:marRight w:val="0"/>
          <w:marTop w:val="0"/>
          <w:marBottom w:val="0"/>
          <w:divBdr>
            <w:top w:val="none" w:sz="0" w:space="0" w:color="auto"/>
            <w:left w:val="none" w:sz="0" w:space="0" w:color="auto"/>
            <w:bottom w:val="none" w:sz="0" w:space="0" w:color="auto"/>
            <w:right w:val="none" w:sz="0" w:space="0" w:color="auto"/>
          </w:divBdr>
        </w:div>
        <w:div w:id="112329143">
          <w:marLeft w:val="0"/>
          <w:marRight w:val="0"/>
          <w:marTop w:val="0"/>
          <w:marBottom w:val="0"/>
          <w:divBdr>
            <w:top w:val="none" w:sz="0" w:space="0" w:color="auto"/>
            <w:left w:val="none" w:sz="0" w:space="0" w:color="auto"/>
            <w:bottom w:val="none" w:sz="0" w:space="0" w:color="auto"/>
            <w:right w:val="none" w:sz="0" w:space="0" w:color="auto"/>
          </w:divBdr>
        </w:div>
        <w:div w:id="1652715863">
          <w:marLeft w:val="0"/>
          <w:marRight w:val="0"/>
          <w:marTop w:val="0"/>
          <w:marBottom w:val="0"/>
          <w:divBdr>
            <w:top w:val="none" w:sz="0" w:space="0" w:color="auto"/>
            <w:left w:val="none" w:sz="0" w:space="0" w:color="auto"/>
            <w:bottom w:val="none" w:sz="0" w:space="0" w:color="auto"/>
            <w:right w:val="none" w:sz="0" w:space="0" w:color="auto"/>
          </w:divBdr>
        </w:div>
        <w:div w:id="1236016623">
          <w:marLeft w:val="0"/>
          <w:marRight w:val="0"/>
          <w:marTop w:val="0"/>
          <w:marBottom w:val="0"/>
          <w:divBdr>
            <w:top w:val="none" w:sz="0" w:space="0" w:color="auto"/>
            <w:left w:val="none" w:sz="0" w:space="0" w:color="auto"/>
            <w:bottom w:val="none" w:sz="0" w:space="0" w:color="auto"/>
            <w:right w:val="none" w:sz="0" w:space="0" w:color="auto"/>
          </w:divBdr>
        </w:div>
        <w:div w:id="1929579038">
          <w:marLeft w:val="0"/>
          <w:marRight w:val="0"/>
          <w:marTop w:val="0"/>
          <w:marBottom w:val="0"/>
          <w:divBdr>
            <w:top w:val="none" w:sz="0" w:space="0" w:color="auto"/>
            <w:left w:val="none" w:sz="0" w:space="0" w:color="auto"/>
            <w:bottom w:val="none" w:sz="0" w:space="0" w:color="auto"/>
            <w:right w:val="none" w:sz="0" w:space="0" w:color="auto"/>
          </w:divBdr>
        </w:div>
        <w:div w:id="944078116">
          <w:marLeft w:val="0"/>
          <w:marRight w:val="0"/>
          <w:marTop w:val="0"/>
          <w:marBottom w:val="0"/>
          <w:divBdr>
            <w:top w:val="none" w:sz="0" w:space="0" w:color="auto"/>
            <w:left w:val="none" w:sz="0" w:space="0" w:color="auto"/>
            <w:bottom w:val="none" w:sz="0" w:space="0" w:color="auto"/>
            <w:right w:val="none" w:sz="0" w:space="0" w:color="auto"/>
          </w:divBdr>
        </w:div>
        <w:div w:id="1895576169">
          <w:marLeft w:val="0"/>
          <w:marRight w:val="0"/>
          <w:marTop w:val="0"/>
          <w:marBottom w:val="0"/>
          <w:divBdr>
            <w:top w:val="none" w:sz="0" w:space="0" w:color="auto"/>
            <w:left w:val="none" w:sz="0" w:space="0" w:color="auto"/>
            <w:bottom w:val="none" w:sz="0" w:space="0" w:color="auto"/>
            <w:right w:val="none" w:sz="0" w:space="0" w:color="auto"/>
          </w:divBdr>
        </w:div>
        <w:div w:id="2022927696">
          <w:marLeft w:val="0"/>
          <w:marRight w:val="0"/>
          <w:marTop w:val="0"/>
          <w:marBottom w:val="0"/>
          <w:divBdr>
            <w:top w:val="none" w:sz="0" w:space="0" w:color="auto"/>
            <w:left w:val="none" w:sz="0" w:space="0" w:color="auto"/>
            <w:bottom w:val="none" w:sz="0" w:space="0" w:color="auto"/>
            <w:right w:val="none" w:sz="0" w:space="0" w:color="auto"/>
          </w:divBdr>
        </w:div>
        <w:div w:id="1046833015">
          <w:marLeft w:val="0"/>
          <w:marRight w:val="0"/>
          <w:marTop w:val="0"/>
          <w:marBottom w:val="0"/>
          <w:divBdr>
            <w:top w:val="none" w:sz="0" w:space="0" w:color="auto"/>
            <w:left w:val="none" w:sz="0" w:space="0" w:color="auto"/>
            <w:bottom w:val="none" w:sz="0" w:space="0" w:color="auto"/>
            <w:right w:val="none" w:sz="0" w:space="0" w:color="auto"/>
          </w:divBdr>
        </w:div>
        <w:div w:id="1609849800">
          <w:marLeft w:val="0"/>
          <w:marRight w:val="0"/>
          <w:marTop w:val="0"/>
          <w:marBottom w:val="0"/>
          <w:divBdr>
            <w:top w:val="none" w:sz="0" w:space="0" w:color="auto"/>
            <w:left w:val="none" w:sz="0" w:space="0" w:color="auto"/>
            <w:bottom w:val="none" w:sz="0" w:space="0" w:color="auto"/>
            <w:right w:val="none" w:sz="0" w:space="0" w:color="auto"/>
          </w:divBdr>
        </w:div>
        <w:div w:id="530068038">
          <w:marLeft w:val="0"/>
          <w:marRight w:val="0"/>
          <w:marTop w:val="0"/>
          <w:marBottom w:val="0"/>
          <w:divBdr>
            <w:top w:val="none" w:sz="0" w:space="0" w:color="auto"/>
            <w:left w:val="none" w:sz="0" w:space="0" w:color="auto"/>
            <w:bottom w:val="none" w:sz="0" w:space="0" w:color="auto"/>
            <w:right w:val="none" w:sz="0" w:space="0" w:color="auto"/>
          </w:divBdr>
        </w:div>
        <w:div w:id="1128862225">
          <w:marLeft w:val="0"/>
          <w:marRight w:val="0"/>
          <w:marTop w:val="0"/>
          <w:marBottom w:val="0"/>
          <w:divBdr>
            <w:top w:val="none" w:sz="0" w:space="0" w:color="auto"/>
            <w:left w:val="none" w:sz="0" w:space="0" w:color="auto"/>
            <w:bottom w:val="none" w:sz="0" w:space="0" w:color="auto"/>
            <w:right w:val="none" w:sz="0" w:space="0" w:color="auto"/>
          </w:divBdr>
        </w:div>
      </w:divsChild>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525250289">
      <w:bodyDiv w:val="1"/>
      <w:marLeft w:val="0"/>
      <w:marRight w:val="0"/>
      <w:marTop w:val="0"/>
      <w:marBottom w:val="0"/>
      <w:divBdr>
        <w:top w:val="none" w:sz="0" w:space="0" w:color="auto"/>
        <w:left w:val="none" w:sz="0" w:space="0" w:color="auto"/>
        <w:bottom w:val="none" w:sz="0" w:space="0" w:color="auto"/>
        <w:right w:val="none" w:sz="0" w:space="0" w:color="auto"/>
      </w:divBdr>
      <w:divsChild>
        <w:div w:id="2086030145">
          <w:marLeft w:val="0"/>
          <w:marRight w:val="0"/>
          <w:marTop w:val="0"/>
          <w:marBottom w:val="0"/>
          <w:divBdr>
            <w:top w:val="none" w:sz="0" w:space="0" w:color="auto"/>
            <w:left w:val="none" w:sz="0" w:space="0" w:color="auto"/>
            <w:bottom w:val="none" w:sz="0" w:space="0" w:color="auto"/>
            <w:right w:val="none" w:sz="0" w:space="0" w:color="auto"/>
          </w:divBdr>
        </w:div>
        <w:div w:id="543172915">
          <w:marLeft w:val="0"/>
          <w:marRight w:val="0"/>
          <w:marTop w:val="0"/>
          <w:marBottom w:val="0"/>
          <w:divBdr>
            <w:top w:val="none" w:sz="0" w:space="0" w:color="auto"/>
            <w:left w:val="none" w:sz="0" w:space="0" w:color="auto"/>
            <w:bottom w:val="none" w:sz="0" w:space="0" w:color="auto"/>
            <w:right w:val="none" w:sz="0" w:space="0" w:color="auto"/>
          </w:divBdr>
        </w:div>
        <w:div w:id="379482703">
          <w:marLeft w:val="0"/>
          <w:marRight w:val="0"/>
          <w:marTop w:val="0"/>
          <w:marBottom w:val="0"/>
          <w:divBdr>
            <w:top w:val="none" w:sz="0" w:space="0" w:color="auto"/>
            <w:left w:val="none" w:sz="0" w:space="0" w:color="auto"/>
            <w:bottom w:val="none" w:sz="0" w:space="0" w:color="auto"/>
            <w:right w:val="none" w:sz="0" w:space="0" w:color="auto"/>
          </w:divBdr>
        </w:div>
        <w:div w:id="1923366482">
          <w:marLeft w:val="0"/>
          <w:marRight w:val="0"/>
          <w:marTop w:val="0"/>
          <w:marBottom w:val="0"/>
          <w:divBdr>
            <w:top w:val="none" w:sz="0" w:space="0" w:color="auto"/>
            <w:left w:val="none" w:sz="0" w:space="0" w:color="auto"/>
            <w:bottom w:val="none" w:sz="0" w:space="0" w:color="auto"/>
            <w:right w:val="none" w:sz="0" w:space="0" w:color="auto"/>
          </w:divBdr>
        </w:div>
      </w:divsChild>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 w:id="2053922615">
      <w:bodyDiv w:val="1"/>
      <w:marLeft w:val="0"/>
      <w:marRight w:val="0"/>
      <w:marTop w:val="0"/>
      <w:marBottom w:val="0"/>
      <w:divBdr>
        <w:top w:val="none" w:sz="0" w:space="0" w:color="auto"/>
        <w:left w:val="none" w:sz="0" w:space="0" w:color="auto"/>
        <w:bottom w:val="none" w:sz="0" w:space="0" w:color="auto"/>
        <w:right w:val="none" w:sz="0" w:space="0" w:color="auto"/>
      </w:divBdr>
      <w:divsChild>
        <w:div w:id="74327899">
          <w:marLeft w:val="0"/>
          <w:marRight w:val="0"/>
          <w:marTop w:val="0"/>
          <w:marBottom w:val="0"/>
          <w:divBdr>
            <w:top w:val="none" w:sz="0" w:space="0" w:color="auto"/>
            <w:left w:val="none" w:sz="0" w:space="0" w:color="auto"/>
            <w:bottom w:val="none" w:sz="0" w:space="0" w:color="auto"/>
            <w:right w:val="none" w:sz="0" w:space="0" w:color="auto"/>
          </w:divBdr>
        </w:div>
        <w:div w:id="1456024688">
          <w:marLeft w:val="0"/>
          <w:marRight w:val="0"/>
          <w:marTop w:val="0"/>
          <w:marBottom w:val="0"/>
          <w:divBdr>
            <w:top w:val="none" w:sz="0" w:space="0" w:color="auto"/>
            <w:left w:val="none" w:sz="0" w:space="0" w:color="auto"/>
            <w:bottom w:val="none" w:sz="0" w:space="0" w:color="auto"/>
            <w:right w:val="none" w:sz="0" w:space="0" w:color="auto"/>
          </w:divBdr>
        </w:div>
        <w:div w:id="1844277516">
          <w:marLeft w:val="0"/>
          <w:marRight w:val="0"/>
          <w:marTop w:val="0"/>
          <w:marBottom w:val="0"/>
          <w:divBdr>
            <w:top w:val="none" w:sz="0" w:space="0" w:color="auto"/>
            <w:left w:val="none" w:sz="0" w:space="0" w:color="auto"/>
            <w:bottom w:val="none" w:sz="0" w:space="0" w:color="auto"/>
            <w:right w:val="none" w:sz="0" w:space="0" w:color="auto"/>
          </w:divBdr>
          <w:divsChild>
            <w:div w:id="1783719085">
              <w:marLeft w:val="0"/>
              <w:marRight w:val="0"/>
              <w:marTop w:val="0"/>
              <w:marBottom w:val="0"/>
              <w:divBdr>
                <w:top w:val="none" w:sz="0" w:space="0" w:color="auto"/>
                <w:left w:val="none" w:sz="0" w:space="0" w:color="auto"/>
                <w:bottom w:val="none" w:sz="0" w:space="0" w:color="auto"/>
                <w:right w:val="none" w:sz="0" w:space="0" w:color="auto"/>
              </w:divBdr>
            </w:div>
            <w:div w:id="1615088906">
              <w:marLeft w:val="0"/>
              <w:marRight w:val="0"/>
              <w:marTop w:val="0"/>
              <w:marBottom w:val="0"/>
              <w:divBdr>
                <w:top w:val="none" w:sz="0" w:space="0" w:color="auto"/>
                <w:left w:val="none" w:sz="0" w:space="0" w:color="auto"/>
                <w:bottom w:val="none" w:sz="0" w:space="0" w:color="auto"/>
                <w:right w:val="none" w:sz="0" w:space="0" w:color="auto"/>
              </w:divBdr>
            </w:div>
            <w:div w:id="449667799">
              <w:marLeft w:val="0"/>
              <w:marRight w:val="0"/>
              <w:marTop w:val="0"/>
              <w:marBottom w:val="0"/>
              <w:divBdr>
                <w:top w:val="none" w:sz="0" w:space="0" w:color="auto"/>
                <w:left w:val="none" w:sz="0" w:space="0" w:color="auto"/>
                <w:bottom w:val="none" w:sz="0" w:space="0" w:color="auto"/>
                <w:right w:val="none" w:sz="0" w:space="0" w:color="auto"/>
              </w:divBdr>
              <w:divsChild>
                <w:div w:id="5410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1979</TotalTime>
  <Pages>1</Pages>
  <Words>416</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2520</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18</cp:revision>
  <cp:lastPrinted>2012-09-07T16:24:00Z</cp:lastPrinted>
  <dcterms:created xsi:type="dcterms:W3CDTF">2022-08-23T13:54:00Z</dcterms:created>
  <dcterms:modified xsi:type="dcterms:W3CDTF">2022-08-25T18:12:00Z</dcterms:modified>
  <cp:category>Payroll Bulletin</cp:category>
</cp:coreProperties>
</file>