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4" o:title="Outlined diamond" type="pattern"/>
    </v:background>
  </w:background>
  <w:body>
    <w:p w14:paraId="4BDA1403"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083EA324" w14:textId="77777777"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66054CB4" w14:textId="77777777"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14:paraId="1A8F4B7B" w14:textId="77777777">
        <w:trPr>
          <w:cantSplit/>
        </w:trPr>
        <w:tc>
          <w:tcPr>
            <w:tcW w:w="3366" w:type="dxa"/>
            <w:tcBorders>
              <w:bottom w:val="double" w:sz="6" w:space="0" w:color="auto"/>
            </w:tcBorders>
          </w:tcPr>
          <w:p w14:paraId="745C912B" w14:textId="4C3E9447" w:rsidR="00CF5444" w:rsidRDefault="00CF5444" w:rsidP="003919D7">
            <w:pPr>
              <w:pStyle w:val="Header"/>
              <w:rPr>
                <w:b/>
                <w:sz w:val="20"/>
              </w:rPr>
            </w:pPr>
            <w:r>
              <w:rPr>
                <w:b/>
                <w:sz w:val="20"/>
              </w:rPr>
              <w:t xml:space="preserve">Calendar </w:t>
            </w:r>
            <w:proofErr w:type="gramStart"/>
            <w:r>
              <w:rPr>
                <w:b/>
                <w:sz w:val="20"/>
              </w:rPr>
              <w:t xml:space="preserve">Year </w:t>
            </w:r>
            <w:r w:rsidR="006A0FBB">
              <w:rPr>
                <w:b/>
                <w:sz w:val="20"/>
              </w:rPr>
              <w:t xml:space="preserve"> </w:t>
            </w:r>
            <w:r w:rsidR="008D1D03">
              <w:rPr>
                <w:b/>
                <w:sz w:val="20"/>
              </w:rPr>
              <w:t>2023</w:t>
            </w:r>
            <w:proofErr w:type="gramEnd"/>
          </w:p>
        </w:tc>
        <w:tc>
          <w:tcPr>
            <w:tcW w:w="3366" w:type="dxa"/>
            <w:tcBorders>
              <w:bottom w:val="double" w:sz="6" w:space="0" w:color="auto"/>
            </w:tcBorders>
          </w:tcPr>
          <w:p w14:paraId="1E3A2186" w14:textId="6EF1AF5F" w:rsidR="00396BAC" w:rsidRDefault="00D832CD" w:rsidP="003919D7">
            <w:pPr>
              <w:pStyle w:val="Header"/>
              <w:rPr>
                <w:b/>
                <w:sz w:val="20"/>
              </w:rPr>
            </w:pPr>
            <w:r>
              <w:rPr>
                <w:b/>
                <w:sz w:val="20"/>
              </w:rPr>
              <w:t xml:space="preserve">               </w:t>
            </w:r>
            <w:r w:rsidR="003919D7">
              <w:rPr>
                <w:b/>
                <w:sz w:val="20"/>
              </w:rPr>
              <w:t xml:space="preserve">January 3, </w:t>
            </w:r>
            <w:proofErr w:type="gramStart"/>
            <w:r w:rsidR="008D1D03">
              <w:rPr>
                <w:b/>
                <w:sz w:val="20"/>
              </w:rPr>
              <w:t>2023</w:t>
            </w:r>
            <w:proofErr w:type="gramEnd"/>
            <w:r w:rsidR="0038310C">
              <w:rPr>
                <w:b/>
                <w:sz w:val="20"/>
              </w:rPr>
              <w:t xml:space="preserve"> </w:t>
            </w:r>
          </w:p>
        </w:tc>
        <w:tc>
          <w:tcPr>
            <w:tcW w:w="3366" w:type="dxa"/>
            <w:tcBorders>
              <w:bottom w:val="double" w:sz="6" w:space="0" w:color="auto"/>
            </w:tcBorders>
          </w:tcPr>
          <w:p w14:paraId="3724D1BF" w14:textId="15E27F95"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8D1D03">
              <w:rPr>
                <w:b/>
                <w:sz w:val="20"/>
              </w:rPr>
              <w:t>2023</w:t>
            </w:r>
            <w:r>
              <w:rPr>
                <w:b/>
                <w:sz w:val="20"/>
              </w:rPr>
              <w:t>-</w:t>
            </w:r>
            <w:r w:rsidR="007E41B3">
              <w:rPr>
                <w:b/>
                <w:sz w:val="20"/>
              </w:rPr>
              <w:t>0</w:t>
            </w:r>
            <w:r w:rsidR="003B2CD5">
              <w:rPr>
                <w:b/>
                <w:sz w:val="20"/>
              </w:rPr>
              <w:t>1</w:t>
            </w:r>
          </w:p>
        </w:tc>
      </w:tr>
    </w:tbl>
    <w:p w14:paraId="064F5EEA" w14:textId="77777777" w:rsidR="00CF5444" w:rsidRDefault="00CF5444">
      <w:pPr>
        <w:tabs>
          <w:tab w:val="left" w:pos="990"/>
        </w:tabs>
        <w:jc w:val="center"/>
      </w:pPr>
    </w:p>
    <w:p w14:paraId="4339B258" w14:textId="62F69DA3" w:rsidR="00EF2DED" w:rsidRDefault="008D1D03">
      <w:pPr>
        <w:tabs>
          <w:tab w:val="left" w:pos="990"/>
        </w:tabs>
        <w:jc w:val="center"/>
        <w:rPr>
          <w:rFonts w:ascii="Arial" w:hAnsi="Arial"/>
          <w:b/>
          <w:sz w:val="32"/>
          <w:szCs w:val="32"/>
        </w:rPr>
      </w:pPr>
      <w:r>
        <w:rPr>
          <w:rFonts w:ascii="Arial" w:hAnsi="Arial"/>
          <w:b/>
          <w:sz w:val="32"/>
          <w:szCs w:val="32"/>
        </w:rPr>
        <w:t>2023</w:t>
      </w:r>
      <w:r w:rsidR="00EF2DED" w:rsidRPr="00EF2DED">
        <w:rPr>
          <w:rFonts w:ascii="Arial" w:hAnsi="Arial"/>
          <w:b/>
          <w:sz w:val="32"/>
          <w:szCs w:val="32"/>
        </w:rPr>
        <w:t xml:space="preserve"> Calendar Year Payroll Operations</w:t>
      </w:r>
    </w:p>
    <w:p w14:paraId="2A0A5FB7" w14:textId="77777777" w:rsidR="008E69F6" w:rsidRDefault="008E69F6">
      <w:pPr>
        <w:tabs>
          <w:tab w:val="left" w:pos="990"/>
        </w:tabs>
        <w:jc w:val="center"/>
      </w:pPr>
    </w:p>
    <w:tbl>
      <w:tblPr>
        <w:tblW w:w="0" w:type="auto"/>
        <w:tblLook w:val="01E0" w:firstRow="1" w:lastRow="1" w:firstColumn="1" w:lastColumn="1" w:noHBand="0" w:noVBand="0"/>
      </w:tblPr>
      <w:tblGrid>
        <w:gridCol w:w="2224"/>
        <w:gridCol w:w="3996"/>
        <w:gridCol w:w="3716"/>
      </w:tblGrid>
      <w:tr w:rsidR="00403EF4" w14:paraId="44FC599D" w14:textId="77777777" w:rsidTr="00EF6516">
        <w:tc>
          <w:tcPr>
            <w:tcW w:w="2245" w:type="dxa"/>
          </w:tcPr>
          <w:p w14:paraId="177BC352" w14:textId="77777777"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14:paraId="0200E31B" w14:textId="77777777" w:rsidR="0056085F" w:rsidRPr="00EF6516" w:rsidRDefault="0056085F" w:rsidP="00EF6516">
            <w:pPr>
              <w:spacing w:before="120"/>
              <w:rPr>
                <w:b/>
              </w:rPr>
            </w:pPr>
          </w:p>
        </w:tc>
        <w:tc>
          <w:tcPr>
            <w:tcW w:w="4112" w:type="dxa"/>
          </w:tcPr>
          <w:p w14:paraId="77152CC4" w14:textId="77777777" w:rsidR="008605E3" w:rsidRDefault="00515DBB" w:rsidP="00EF6516">
            <w:pPr>
              <w:numPr>
                <w:ilvl w:val="0"/>
                <w:numId w:val="2"/>
              </w:numPr>
              <w:tabs>
                <w:tab w:val="left" w:pos="990"/>
              </w:tabs>
              <w:spacing w:before="60"/>
              <w:ind w:left="547"/>
              <w:rPr>
                <w:szCs w:val="24"/>
              </w:rPr>
            </w:pPr>
            <w:r w:rsidRPr="00EF6516">
              <w:rPr>
                <w:szCs w:val="24"/>
              </w:rPr>
              <w:t>Payroll Accounting</w:t>
            </w:r>
          </w:p>
          <w:p w14:paraId="0263509F" w14:textId="77777777" w:rsidR="00515DBB" w:rsidRDefault="00515DBB" w:rsidP="00EF6516">
            <w:pPr>
              <w:numPr>
                <w:ilvl w:val="0"/>
                <w:numId w:val="2"/>
              </w:numPr>
              <w:tabs>
                <w:tab w:val="left" w:pos="990"/>
              </w:tabs>
              <w:spacing w:before="60"/>
              <w:ind w:left="547"/>
              <w:rPr>
                <w:szCs w:val="24"/>
              </w:rPr>
            </w:pPr>
            <w:r w:rsidRPr="00EF6516">
              <w:rPr>
                <w:szCs w:val="24"/>
              </w:rPr>
              <w:t>Payroll Deductions</w:t>
            </w:r>
          </w:p>
          <w:p w14:paraId="3718A014" w14:textId="77777777" w:rsidR="0036214F" w:rsidRPr="00EF6516" w:rsidRDefault="0036214F" w:rsidP="00EF6516">
            <w:pPr>
              <w:numPr>
                <w:ilvl w:val="0"/>
                <w:numId w:val="2"/>
              </w:numPr>
              <w:tabs>
                <w:tab w:val="left" w:pos="990"/>
              </w:tabs>
              <w:spacing w:before="60"/>
              <w:ind w:left="547"/>
              <w:rPr>
                <w:szCs w:val="24"/>
              </w:rPr>
            </w:pPr>
            <w:r>
              <w:rPr>
                <w:szCs w:val="24"/>
              </w:rPr>
              <w:t>Y</w:t>
            </w:r>
            <w:r w:rsidR="0042489C">
              <w:rPr>
                <w:szCs w:val="24"/>
              </w:rPr>
              <w:t xml:space="preserve">ear </w:t>
            </w:r>
            <w:r>
              <w:rPr>
                <w:szCs w:val="24"/>
              </w:rPr>
              <w:t>E</w:t>
            </w:r>
            <w:r w:rsidR="0042489C">
              <w:rPr>
                <w:szCs w:val="24"/>
              </w:rPr>
              <w:t>nd</w:t>
            </w:r>
            <w:r>
              <w:rPr>
                <w:szCs w:val="24"/>
              </w:rPr>
              <w:t xml:space="preserve"> Leave Processing</w:t>
            </w:r>
          </w:p>
          <w:p w14:paraId="46C20193" w14:textId="77777777" w:rsidR="00515DBB" w:rsidRPr="00EF6516" w:rsidRDefault="00515DBB" w:rsidP="00EF6516">
            <w:pPr>
              <w:numPr>
                <w:ilvl w:val="0"/>
                <w:numId w:val="2"/>
              </w:numPr>
              <w:tabs>
                <w:tab w:val="left" w:pos="990"/>
              </w:tabs>
              <w:spacing w:before="60"/>
              <w:ind w:left="547"/>
              <w:rPr>
                <w:szCs w:val="24"/>
              </w:rPr>
            </w:pPr>
            <w:r w:rsidRPr="00EF6516">
              <w:rPr>
                <w:szCs w:val="24"/>
              </w:rPr>
              <w:t>Payroll Contact Personnel</w:t>
            </w:r>
          </w:p>
          <w:p w14:paraId="1BC33ADF" w14:textId="79ADD465" w:rsidR="00DD4FBB" w:rsidRPr="00EF6516" w:rsidRDefault="00DD4FBB" w:rsidP="00D96FEF">
            <w:pPr>
              <w:tabs>
                <w:tab w:val="left" w:pos="990"/>
              </w:tabs>
              <w:spacing w:before="60"/>
              <w:ind w:left="547"/>
              <w:rPr>
                <w:szCs w:val="24"/>
              </w:rPr>
            </w:pPr>
          </w:p>
        </w:tc>
        <w:tc>
          <w:tcPr>
            <w:tcW w:w="3795" w:type="dxa"/>
          </w:tcPr>
          <w:p w14:paraId="2BB64804" w14:textId="77777777"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14:paraId="0AF5947A" w14:textId="77777777" w:rsidR="0056085F" w:rsidRPr="00EF6516" w:rsidRDefault="0056085F" w:rsidP="00EF6516">
            <w:pPr>
              <w:tabs>
                <w:tab w:val="left" w:pos="990"/>
              </w:tabs>
              <w:spacing w:before="120"/>
              <w:jc w:val="both"/>
              <w:rPr>
                <w:sz w:val="20"/>
                <w:u w:val="single"/>
              </w:rPr>
            </w:pPr>
            <w:r w:rsidRPr="00EF6516">
              <w:rPr>
                <w:sz w:val="20"/>
                <w:u w:val="single"/>
              </w:rPr>
              <w:t>State Payroll Operations</w:t>
            </w:r>
          </w:p>
          <w:p w14:paraId="0A4DC9B1" w14:textId="77777777"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14:paraId="653F35B5" w14:textId="77777777"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14:paraId="2006B55A" w14:textId="77777777"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14:paraId="04EF978F" w14:textId="77777777">
        <w:trPr>
          <w:cantSplit/>
        </w:trPr>
        <w:tc>
          <w:tcPr>
            <w:tcW w:w="1728" w:type="dxa"/>
          </w:tcPr>
          <w:p w14:paraId="3C6804F4" w14:textId="77777777" w:rsidR="00ED1D0A" w:rsidRPr="0055430B" w:rsidRDefault="00ED1D0A" w:rsidP="00DD41D6">
            <w:pPr>
              <w:pStyle w:val="Heading5"/>
              <w:rPr>
                <w:szCs w:val="22"/>
              </w:rPr>
            </w:pPr>
            <w:r w:rsidRPr="0055430B">
              <w:rPr>
                <w:szCs w:val="22"/>
              </w:rPr>
              <w:t>Introduction</w:t>
            </w:r>
          </w:p>
        </w:tc>
        <w:tc>
          <w:tcPr>
            <w:tcW w:w="8640" w:type="dxa"/>
          </w:tcPr>
          <w:p w14:paraId="7D92D483" w14:textId="48EDD203" w:rsidR="00ED1D0A" w:rsidRPr="0055430B" w:rsidRDefault="00ED1D0A" w:rsidP="00526E4C">
            <w:pPr>
              <w:pStyle w:val="Extmemo"/>
              <w:jc w:val="both"/>
              <w:rPr>
                <w:rFonts w:ascii="Times New Roman" w:hAnsi="Times New Roman"/>
                <w:sz w:val="22"/>
                <w:szCs w:val="22"/>
              </w:rPr>
            </w:pPr>
            <w:r w:rsidRPr="0055430B">
              <w:rPr>
                <w:rFonts w:ascii="Times New Roman" w:hAnsi="Times New Roman"/>
                <w:sz w:val="22"/>
                <w:szCs w:val="22"/>
              </w:rPr>
              <w:t xml:space="preserve">This Payroll Bulletin addresses key </w:t>
            </w:r>
            <w:r w:rsidR="008D1D03">
              <w:rPr>
                <w:rFonts w:ascii="Times New Roman" w:hAnsi="Times New Roman"/>
                <w:b/>
                <w:sz w:val="22"/>
                <w:szCs w:val="22"/>
              </w:rPr>
              <w:t>2023</w:t>
            </w:r>
            <w:r w:rsidR="00A06C4A">
              <w:rPr>
                <w:rFonts w:ascii="Times New Roman" w:hAnsi="Times New Roman"/>
                <w:b/>
                <w:sz w:val="22"/>
                <w:szCs w:val="22"/>
              </w:rPr>
              <w:t xml:space="preserve"> </w:t>
            </w:r>
            <w:r w:rsidRPr="0055430B">
              <w:rPr>
                <w:rFonts w:ascii="Times New Roman" w:hAnsi="Times New Roman"/>
                <w:sz w:val="22"/>
                <w:szCs w:val="22"/>
              </w:rPr>
              <w:t>calendar year payroll and leave processing issues.  This bulletin should be distributed to and carefully reviewed by appropriate payroll</w:t>
            </w:r>
            <w:r w:rsidR="00166FFF" w:rsidRPr="0055430B">
              <w:rPr>
                <w:rFonts w:ascii="Times New Roman" w:hAnsi="Times New Roman"/>
                <w:sz w:val="22"/>
                <w:szCs w:val="22"/>
              </w:rPr>
              <w:t xml:space="preserve">, human </w:t>
            </w:r>
            <w:proofErr w:type="gramStart"/>
            <w:r w:rsidR="00166FFF" w:rsidRPr="0055430B">
              <w:rPr>
                <w:rFonts w:ascii="Times New Roman" w:hAnsi="Times New Roman"/>
                <w:sz w:val="22"/>
                <w:szCs w:val="22"/>
              </w:rPr>
              <w:t>resource</w:t>
            </w:r>
            <w:proofErr w:type="gramEnd"/>
            <w:r w:rsidR="00166FFF" w:rsidRPr="0055430B">
              <w:rPr>
                <w:rFonts w:ascii="Times New Roman" w:hAnsi="Times New Roman"/>
                <w:sz w:val="22"/>
                <w:szCs w:val="22"/>
              </w:rPr>
              <w:t xml:space="preserve"> </w:t>
            </w:r>
            <w:r w:rsidRPr="0055430B">
              <w:rPr>
                <w:rFonts w:ascii="Times New Roman" w:hAnsi="Times New Roman"/>
                <w:sz w:val="22"/>
                <w:szCs w:val="22"/>
              </w:rPr>
              <w:t>and fiscal personnel within your agency.</w:t>
            </w:r>
          </w:p>
        </w:tc>
      </w:tr>
    </w:tbl>
    <w:p w14:paraId="76960710" w14:textId="77777777" w:rsidR="00B83731" w:rsidRDefault="00B83731" w:rsidP="00B83731">
      <w:pPr>
        <w:pStyle w:val="BlockLine"/>
        <w:ind w:left="1350"/>
        <w:rPr>
          <w:sz w:val="16"/>
          <w:szCs w:val="16"/>
        </w:rPr>
      </w:pPr>
    </w:p>
    <w:p w14:paraId="7499E0E7" w14:textId="77777777"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14:paraId="4E55F3EE" w14:textId="77777777"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F8774C" w14:paraId="67012519" w14:textId="77777777" w:rsidTr="00D83103">
        <w:trPr>
          <w:cantSplit/>
        </w:trPr>
        <w:tc>
          <w:tcPr>
            <w:tcW w:w="1728" w:type="dxa"/>
          </w:tcPr>
          <w:p w14:paraId="527BCE99" w14:textId="77777777" w:rsidR="00F8774C" w:rsidRPr="0055430B" w:rsidRDefault="00F8774C" w:rsidP="00D83103">
            <w:pPr>
              <w:pStyle w:val="Heading5"/>
              <w:rPr>
                <w:szCs w:val="22"/>
              </w:rPr>
            </w:pPr>
            <w:r>
              <w:rPr>
                <w:szCs w:val="22"/>
              </w:rPr>
              <w:t>IRS Guidance</w:t>
            </w:r>
          </w:p>
        </w:tc>
        <w:tc>
          <w:tcPr>
            <w:tcW w:w="8640" w:type="dxa"/>
          </w:tcPr>
          <w:p w14:paraId="72B194F4" w14:textId="77777777" w:rsidR="008727A1" w:rsidRDefault="00EE79AA" w:rsidP="008727A1">
            <w:pPr>
              <w:pStyle w:val="Extmemo"/>
              <w:jc w:val="both"/>
              <w:rPr>
                <w:rFonts w:ascii="Times New Roman" w:hAnsi="Times New Roman"/>
                <w:sz w:val="22"/>
                <w:szCs w:val="22"/>
              </w:rPr>
            </w:pPr>
            <w:r>
              <w:rPr>
                <w:rFonts w:ascii="Times New Roman" w:hAnsi="Times New Roman"/>
                <w:sz w:val="22"/>
                <w:szCs w:val="22"/>
              </w:rPr>
              <w:t xml:space="preserve">The Internal Revenue Service website is </w:t>
            </w:r>
            <w:hyperlink r:id="rId10" w:history="1">
              <w:r w:rsidR="001733DF" w:rsidRPr="00F0137D">
                <w:rPr>
                  <w:rStyle w:val="Hyperlink"/>
                  <w:rFonts w:ascii="Times New Roman" w:hAnsi="Times New Roman"/>
                  <w:sz w:val="22"/>
                  <w:szCs w:val="22"/>
                </w:rPr>
                <w:t>https://www.irs.gov/forms-instructions</w:t>
              </w:r>
            </w:hyperlink>
          </w:p>
          <w:p w14:paraId="21AC3886" w14:textId="77777777" w:rsidR="00EE79AA" w:rsidRPr="0055430B" w:rsidRDefault="008727A1" w:rsidP="008727A1">
            <w:pPr>
              <w:pStyle w:val="Extmemo"/>
              <w:jc w:val="both"/>
              <w:rPr>
                <w:rFonts w:ascii="Times New Roman" w:hAnsi="Times New Roman"/>
                <w:sz w:val="22"/>
                <w:szCs w:val="22"/>
              </w:rPr>
            </w:pPr>
            <w:r>
              <w:rPr>
                <w:rFonts w:ascii="Times New Roman" w:hAnsi="Times New Roman"/>
                <w:sz w:val="22"/>
                <w:szCs w:val="22"/>
              </w:rPr>
              <w:t>Publication 15, Employer’s Tax Guide and Publication 15-B, Employer’s Supplemental Tax Guide are available on the Forms &amp; Publications tab and should be reviewed every calendar year.</w:t>
            </w:r>
          </w:p>
        </w:tc>
      </w:tr>
    </w:tbl>
    <w:p w14:paraId="31F927AB" w14:textId="77777777" w:rsidR="00F8774C" w:rsidRDefault="00F8774C" w:rsidP="00F8774C">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9D6813" w14:paraId="215B382C" w14:textId="77777777" w:rsidTr="00D83103">
        <w:trPr>
          <w:cantSplit/>
        </w:trPr>
        <w:tc>
          <w:tcPr>
            <w:tcW w:w="1728" w:type="dxa"/>
          </w:tcPr>
          <w:p w14:paraId="3E73A110" w14:textId="77777777" w:rsidR="009D6813" w:rsidRPr="00D776BB" w:rsidRDefault="009D6813" w:rsidP="00D83103">
            <w:pPr>
              <w:pStyle w:val="Heading5"/>
              <w:rPr>
                <w:szCs w:val="22"/>
              </w:rPr>
            </w:pPr>
            <w:r w:rsidRPr="00D776BB">
              <w:rPr>
                <w:szCs w:val="22"/>
              </w:rPr>
              <w:t>Social Security Tax Withholding</w:t>
            </w:r>
          </w:p>
          <w:p w14:paraId="74F6C9C3" w14:textId="77777777" w:rsidR="009D6813" w:rsidRPr="00D776BB" w:rsidRDefault="009D6813" w:rsidP="00D83103">
            <w:pPr>
              <w:pStyle w:val="Heading5"/>
              <w:rPr>
                <w:szCs w:val="22"/>
              </w:rPr>
            </w:pPr>
          </w:p>
        </w:tc>
        <w:tc>
          <w:tcPr>
            <w:tcW w:w="8640" w:type="dxa"/>
          </w:tcPr>
          <w:p w14:paraId="3AA72DB5" w14:textId="6F05FE03" w:rsidR="009D6813" w:rsidRPr="00D776BB" w:rsidRDefault="005257B0" w:rsidP="00D83103">
            <w:pPr>
              <w:pStyle w:val="Extmemo"/>
              <w:jc w:val="both"/>
              <w:rPr>
                <w:rFonts w:ascii="Times New Roman" w:hAnsi="Times New Roman"/>
                <w:sz w:val="22"/>
                <w:szCs w:val="22"/>
              </w:rPr>
            </w:pPr>
            <w:r>
              <w:rPr>
                <w:rFonts w:ascii="Times New Roman" w:hAnsi="Times New Roman"/>
                <w:sz w:val="22"/>
                <w:szCs w:val="22"/>
              </w:rPr>
              <w:t xml:space="preserve">The maximum wage base for </w:t>
            </w:r>
            <w:r w:rsidR="008D1D03">
              <w:rPr>
                <w:rFonts w:ascii="Times New Roman" w:hAnsi="Times New Roman"/>
                <w:sz w:val="22"/>
                <w:szCs w:val="22"/>
              </w:rPr>
              <w:t>2023</w:t>
            </w:r>
            <w:r w:rsidR="009D6813" w:rsidRPr="00D776BB">
              <w:rPr>
                <w:rFonts w:ascii="Times New Roman" w:hAnsi="Times New Roman"/>
                <w:sz w:val="22"/>
                <w:szCs w:val="22"/>
              </w:rPr>
              <w:t xml:space="preserve"> withholding will increase to </w:t>
            </w:r>
            <w:r w:rsidR="009D6813" w:rsidRPr="00D776BB">
              <w:rPr>
                <w:rFonts w:ascii="Times New Roman" w:hAnsi="Times New Roman"/>
                <w:b/>
                <w:sz w:val="22"/>
                <w:szCs w:val="22"/>
              </w:rPr>
              <w:t>$1</w:t>
            </w:r>
            <w:r w:rsidR="001A46F2">
              <w:rPr>
                <w:rFonts w:ascii="Times New Roman" w:hAnsi="Times New Roman"/>
                <w:b/>
                <w:sz w:val="22"/>
                <w:szCs w:val="22"/>
              </w:rPr>
              <w:t>60</w:t>
            </w:r>
            <w:r w:rsidR="009D6813" w:rsidRPr="00D776BB">
              <w:rPr>
                <w:rFonts w:ascii="Times New Roman" w:hAnsi="Times New Roman"/>
                <w:b/>
                <w:sz w:val="22"/>
                <w:szCs w:val="22"/>
              </w:rPr>
              <w:t>,</w:t>
            </w:r>
            <w:r w:rsidR="001A46F2">
              <w:rPr>
                <w:rFonts w:ascii="Times New Roman" w:hAnsi="Times New Roman"/>
                <w:b/>
                <w:sz w:val="22"/>
                <w:szCs w:val="22"/>
              </w:rPr>
              <w:t>2</w:t>
            </w:r>
            <w:r w:rsidR="009D6813" w:rsidRPr="00D776BB">
              <w:rPr>
                <w:rFonts w:ascii="Times New Roman" w:hAnsi="Times New Roman"/>
                <w:b/>
                <w:sz w:val="22"/>
                <w:szCs w:val="22"/>
              </w:rPr>
              <w:t xml:space="preserve">00 </w:t>
            </w:r>
            <w:r w:rsidR="009D6813" w:rsidRPr="00D776BB">
              <w:rPr>
                <w:rFonts w:ascii="Times New Roman" w:hAnsi="Times New Roman"/>
                <w:sz w:val="22"/>
                <w:szCs w:val="22"/>
              </w:rPr>
              <w:t xml:space="preserve">for OASDI (Old Age, Survivors, and Disability Insurance).  The wage base for HI (Hospital Insurance) remains unlimited (i.e., all wages are HI taxable).  Wages paid </w:t>
            </w:r>
            <w:proofErr w:type="gramStart"/>
            <w:r w:rsidR="009D6813" w:rsidRPr="00D776BB">
              <w:rPr>
                <w:rFonts w:ascii="Times New Roman" w:hAnsi="Times New Roman"/>
                <w:sz w:val="22"/>
                <w:szCs w:val="22"/>
              </w:rPr>
              <w:t>in excess of</w:t>
            </w:r>
            <w:proofErr w:type="gramEnd"/>
            <w:r w:rsidR="009D6813" w:rsidRPr="00D776BB">
              <w:rPr>
                <w:rFonts w:ascii="Times New Roman" w:hAnsi="Times New Roman"/>
                <w:sz w:val="22"/>
                <w:szCs w:val="22"/>
              </w:rPr>
              <w:t xml:space="preserve"> $200,000 in </w:t>
            </w:r>
            <w:r w:rsidR="008D1D03">
              <w:rPr>
                <w:rFonts w:ascii="Times New Roman" w:hAnsi="Times New Roman"/>
                <w:sz w:val="22"/>
                <w:szCs w:val="22"/>
              </w:rPr>
              <w:t>2023</w:t>
            </w:r>
            <w:r w:rsidR="009D6813" w:rsidRPr="00D776BB">
              <w:rPr>
                <w:rFonts w:ascii="Times New Roman" w:hAnsi="Times New Roman"/>
                <w:sz w:val="22"/>
                <w:szCs w:val="22"/>
              </w:rPr>
              <w:t xml:space="preserve"> will be subject to an extra 0.9% HI tax that will only be withheld from employees’ wages. Employers will not pay the extra tax.</w:t>
            </w:r>
          </w:p>
          <w:p w14:paraId="3A9159F0" w14:textId="77777777" w:rsidR="009D6813" w:rsidRPr="00EF2A29" w:rsidRDefault="009D6813" w:rsidP="00D83103">
            <w:pPr>
              <w:pStyle w:val="Extmemo"/>
              <w:jc w:val="both"/>
              <w:rPr>
                <w:rFonts w:ascii="Times New Roman" w:hAnsi="Times New Roman"/>
                <w:sz w:val="16"/>
                <w:szCs w:val="16"/>
              </w:rPr>
            </w:pPr>
          </w:p>
          <w:p w14:paraId="75341637" w14:textId="5E5FC685"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The OASDI tax rate will remain 6.2% each for employees and employers</w:t>
            </w:r>
            <w:r w:rsidR="00BB3E61">
              <w:rPr>
                <w:rFonts w:ascii="Times New Roman" w:hAnsi="Times New Roman"/>
                <w:sz w:val="22"/>
                <w:szCs w:val="22"/>
              </w:rPr>
              <w:t xml:space="preserve"> ($</w:t>
            </w:r>
            <w:r w:rsidR="00F140AE">
              <w:rPr>
                <w:rFonts w:ascii="Times New Roman" w:hAnsi="Times New Roman"/>
                <w:sz w:val="22"/>
                <w:szCs w:val="22"/>
              </w:rPr>
              <w:t>9</w:t>
            </w:r>
            <w:r w:rsidR="00BB3E61">
              <w:rPr>
                <w:rFonts w:ascii="Times New Roman" w:hAnsi="Times New Roman"/>
                <w:sz w:val="22"/>
                <w:szCs w:val="22"/>
              </w:rPr>
              <w:t>,</w:t>
            </w:r>
            <w:r w:rsidR="00667B99">
              <w:rPr>
                <w:rFonts w:ascii="Times New Roman" w:hAnsi="Times New Roman"/>
                <w:sz w:val="22"/>
                <w:szCs w:val="22"/>
              </w:rPr>
              <w:t>932.40</w:t>
            </w:r>
            <w:r w:rsidR="00BB3E61">
              <w:rPr>
                <w:rFonts w:ascii="Times New Roman" w:hAnsi="Times New Roman"/>
                <w:sz w:val="22"/>
                <w:szCs w:val="22"/>
              </w:rPr>
              <w:t xml:space="preserve"> each)</w:t>
            </w:r>
            <w:r w:rsidRPr="00D776BB">
              <w:rPr>
                <w:rFonts w:ascii="Times New Roman" w:hAnsi="Times New Roman"/>
                <w:sz w:val="22"/>
                <w:szCs w:val="22"/>
              </w:rPr>
              <w:t xml:space="preserve">.  For HI, the rate is 1.45% each for employees and employers, with the additional 0.9% for employees only on wages </w:t>
            </w:r>
            <w:proofErr w:type="gramStart"/>
            <w:r w:rsidRPr="00D776BB">
              <w:rPr>
                <w:rFonts w:ascii="Times New Roman" w:hAnsi="Times New Roman"/>
                <w:sz w:val="22"/>
                <w:szCs w:val="22"/>
              </w:rPr>
              <w:t>in excess of</w:t>
            </w:r>
            <w:proofErr w:type="gramEnd"/>
            <w:r w:rsidRPr="00D776BB">
              <w:rPr>
                <w:rFonts w:ascii="Times New Roman" w:hAnsi="Times New Roman"/>
                <w:sz w:val="22"/>
                <w:szCs w:val="22"/>
              </w:rPr>
              <w:t xml:space="preserve"> $200,000.   </w:t>
            </w:r>
          </w:p>
          <w:p w14:paraId="6A452780" w14:textId="77777777" w:rsidR="009D6813" w:rsidRPr="00EF2A29" w:rsidRDefault="009D6813" w:rsidP="00D83103">
            <w:pPr>
              <w:pStyle w:val="Extmemo"/>
              <w:jc w:val="both"/>
              <w:rPr>
                <w:rFonts w:ascii="Times New Roman" w:hAnsi="Times New Roman"/>
                <w:sz w:val="16"/>
                <w:szCs w:val="16"/>
              </w:rPr>
            </w:pPr>
          </w:p>
          <w:p w14:paraId="7A094C83" w14:textId="1719E8C3" w:rsidR="009D6813" w:rsidRPr="00D776BB" w:rsidRDefault="00667B99" w:rsidP="00D83103">
            <w:pPr>
              <w:pStyle w:val="Extmemo"/>
              <w:jc w:val="both"/>
              <w:rPr>
                <w:rFonts w:ascii="Times New Roman" w:hAnsi="Times New Roman"/>
                <w:sz w:val="22"/>
                <w:szCs w:val="22"/>
              </w:rPr>
            </w:pPr>
            <w:r w:rsidRPr="00D776BB">
              <w:rPr>
                <w:rFonts w:ascii="Times New Roman" w:hAnsi="Times New Roman"/>
                <w:sz w:val="22"/>
                <w:szCs w:val="22"/>
              </w:rPr>
              <w:t xml:space="preserve">OASDI taxes will cease to be calculated and withheld </w:t>
            </w:r>
            <w:r>
              <w:rPr>
                <w:rFonts w:ascii="Times New Roman" w:hAnsi="Times New Roman"/>
                <w:sz w:val="22"/>
                <w:szCs w:val="22"/>
              </w:rPr>
              <w:t>w</w:t>
            </w:r>
            <w:r w:rsidR="009D6813" w:rsidRPr="00D776BB">
              <w:rPr>
                <w:rFonts w:ascii="Times New Roman" w:hAnsi="Times New Roman"/>
                <w:sz w:val="22"/>
                <w:szCs w:val="22"/>
              </w:rPr>
              <w:t xml:space="preserve">hen the maximum has been reached for an individual Employee Id Number.  No agency action is required since </w:t>
            </w:r>
            <w:r>
              <w:rPr>
                <w:rFonts w:ascii="Times New Roman" w:hAnsi="Times New Roman"/>
                <w:sz w:val="22"/>
                <w:szCs w:val="22"/>
              </w:rPr>
              <w:t>HCM</w:t>
            </w:r>
            <w:r w:rsidR="009D6813" w:rsidRPr="00D776BB">
              <w:rPr>
                <w:rFonts w:ascii="Times New Roman" w:hAnsi="Times New Roman"/>
                <w:sz w:val="22"/>
                <w:szCs w:val="22"/>
              </w:rPr>
              <w:t xml:space="preserve"> recognizes the OASDI maximum</w:t>
            </w:r>
            <w:r>
              <w:rPr>
                <w:rFonts w:ascii="Times New Roman" w:hAnsi="Times New Roman"/>
                <w:sz w:val="22"/>
                <w:szCs w:val="22"/>
              </w:rPr>
              <w:t xml:space="preserve"> for employees across agencies</w:t>
            </w:r>
            <w:r w:rsidR="009D6813" w:rsidRPr="00D776BB">
              <w:rPr>
                <w:rFonts w:ascii="Times New Roman" w:hAnsi="Times New Roman"/>
                <w:sz w:val="22"/>
                <w:szCs w:val="22"/>
              </w:rPr>
              <w:t>.</w:t>
            </w:r>
          </w:p>
          <w:p w14:paraId="51C936D3" w14:textId="77777777" w:rsidR="009D6813" w:rsidRPr="00EF2A29" w:rsidRDefault="009D6813" w:rsidP="00D83103">
            <w:pPr>
              <w:pStyle w:val="Extmemo"/>
              <w:jc w:val="both"/>
              <w:rPr>
                <w:rFonts w:ascii="Times New Roman" w:hAnsi="Times New Roman"/>
                <w:sz w:val="16"/>
                <w:szCs w:val="16"/>
              </w:rPr>
            </w:pPr>
          </w:p>
          <w:p w14:paraId="2F491299" w14:textId="79699C1B" w:rsidR="009D6813" w:rsidRPr="00D776BB" w:rsidRDefault="00667B99" w:rsidP="00D83103">
            <w:pPr>
              <w:pStyle w:val="Extmemo"/>
              <w:jc w:val="both"/>
              <w:rPr>
                <w:rFonts w:ascii="Times New Roman" w:hAnsi="Times New Roman"/>
                <w:sz w:val="22"/>
                <w:szCs w:val="22"/>
              </w:rPr>
            </w:pPr>
            <w:r>
              <w:rPr>
                <w:rFonts w:ascii="Times New Roman" w:hAnsi="Times New Roman"/>
                <w:sz w:val="22"/>
                <w:szCs w:val="22"/>
              </w:rPr>
              <w:t>Likewise, HCM will begin to collect the additional 0.9% for employees whose total taxable wages exceed $200,000 across agencies processing pay in Cardinal.</w:t>
            </w:r>
          </w:p>
        </w:tc>
      </w:tr>
    </w:tbl>
    <w:p w14:paraId="4386B97D" w14:textId="77777777" w:rsidR="009D6813" w:rsidRDefault="009D6813" w:rsidP="009D6813">
      <w:pPr>
        <w:pStyle w:val="BlockLine"/>
        <w:ind w:left="1350"/>
        <w:rPr>
          <w:sz w:val="16"/>
          <w:szCs w:val="16"/>
        </w:rPr>
      </w:pPr>
    </w:p>
    <w:p w14:paraId="2286D185" w14:textId="77777777" w:rsidR="009D6813" w:rsidRDefault="009D6813" w:rsidP="0055430B">
      <w:pPr>
        <w:rPr>
          <w:sz w:val="28"/>
          <w:szCs w:val="28"/>
        </w:rPr>
      </w:pPr>
    </w:p>
    <w:p w14:paraId="29209E61" w14:textId="77777777" w:rsidR="009D6813" w:rsidRDefault="009D6813" w:rsidP="0055430B">
      <w:pPr>
        <w:rPr>
          <w:sz w:val="28"/>
          <w:szCs w:val="28"/>
        </w:rPr>
      </w:pPr>
    </w:p>
    <w:p w14:paraId="6368B884" w14:textId="77777777" w:rsidR="00F140AE" w:rsidRDefault="00F140AE">
      <w:pPr>
        <w:rPr>
          <w:b/>
          <w:sz w:val="28"/>
          <w:szCs w:val="28"/>
        </w:rPr>
      </w:pPr>
      <w:r>
        <w:rPr>
          <w:b/>
          <w:sz w:val="28"/>
          <w:szCs w:val="28"/>
        </w:rPr>
        <w:br w:type="page"/>
      </w:r>
    </w:p>
    <w:p w14:paraId="437B9285" w14:textId="77777777" w:rsidR="0055430B" w:rsidRPr="00B804B4" w:rsidRDefault="0055430B" w:rsidP="0055430B">
      <w:pPr>
        <w:rPr>
          <w:b/>
          <w:sz w:val="16"/>
          <w:szCs w:val="16"/>
        </w:rPr>
      </w:pPr>
      <w:r w:rsidRPr="00B804B4">
        <w:rPr>
          <w:b/>
          <w:sz w:val="28"/>
          <w:szCs w:val="28"/>
        </w:rPr>
        <w:lastRenderedPageBreak/>
        <w:t xml:space="preserve">Payroll Accounting, </w:t>
      </w:r>
      <w:r w:rsidRPr="00B804B4">
        <w:rPr>
          <w:b/>
          <w:szCs w:val="24"/>
        </w:rPr>
        <w:t>continued</w:t>
      </w:r>
    </w:p>
    <w:p w14:paraId="76B0C7BD" w14:textId="77777777" w:rsidR="0055430B" w:rsidRDefault="0055430B" w:rsidP="0055430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14:paraId="3582ECBF" w14:textId="77777777" w:rsidTr="00E37196">
        <w:trPr>
          <w:cantSplit/>
          <w:trHeight w:val="2241"/>
        </w:trPr>
        <w:tc>
          <w:tcPr>
            <w:tcW w:w="1728" w:type="dxa"/>
          </w:tcPr>
          <w:p w14:paraId="76EB8C2D" w14:textId="77777777" w:rsidR="00865818" w:rsidRPr="0055430B" w:rsidRDefault="000A4C50" w:rsidP="0042401C">
            <w:pPr>
              <w:pStyle w:val="Heading5"/>
              <w:rPr>
                <w:szCs w:val="22"/>
              </w:rPr>
            </w:pPr>
            <w:r w:rsidRPr="0055430B">
              <w:rPr>
                <w:szCs w:val="22"/>
              </w:rPr>
              <w:t>Exempt Status</w:t>
            </w:r>
          </w:p>
          <w:p w14:paraId="456D978E" w14:textId="77777777" w:rsidR="00865818" w:rsidRPr="0055430B" w:rsidRDefault="00865818" w:rsidP="0042401C">
            <w:pPr>
              <w:pStyle w:val="Heading5"/>
              <w:rPr>
                <w:szCs w:val="22"/>
              </w:rPr>
            </w:pPr>
          </w:p>
        </w:tc>
        <w:tc>
          <w:tcPr>
            <w:tcW w:w="8640" w:type="dxa"/>
          </w:tcPr>
          <w:p w14:paraId="185BEA25" w14:textId="77777777" w:rsidR="002222DE" w:rsidRPr="002222DE" w:rsidRDefault="00865818" w:rsidP="00FD51BB">
            <w:pPr>
              <w:rPr>
                <w:color w:val="000000"/>
                <w:sz w:val="22"/>
                <w:szCs w:val="22"/>
              </w:rPr>
            </w:pPr>
            <w:r w:rsidRPr="002222DE">
              <w:rPr>
                <w:sz w:val="22"/>
                <w:szCs w:val="22"/>
              </w:rPr>
              <w:t>Employees who claim exempt from withholding on their W-4 during the prior year must complete a new W-4 form by February 1</w:t>
            </w:r>
            <w:r w:rsidR="008918EE">
              <w:rPr>
                <w:sz w:val="22"/>
                <w:szCs w:val="22"/>
              </w:rPr>
              <w:t>5</w:t>
            </w:r>
            <w:r w:rsidRPr="002222DE">
              <w:rPr>
                <w:sz w:val="22"/>
                <w:szCs w:val="22"/>
                <w:vertAlign w:val="superscript"/>
              </w:rPr>
              <w:t>th</w:t>
            </w:r>
            <w:r w:rsidRPr="002222DE">
              <w:rPr>
                <w:sz w:val="22"/>
                <w:szCs w:val="22"/>
              </w:rPr>
              <w:t xml:space="preserve"> to maintain their exempt status. If a newly completed W-4 form </w:t>
            </w:r>
            <w:r w:rsidR="00E37196" w:rsidRPr="002222DE">
              <w:rPr>
                <w:sz w:val="22"/>
                <w:szCs w:val="22"/>
              </w:rPr>
              <w:t xml:space="preserve">is not received </w:t>
            </w:r>
            <w:r w:rsidRPr="002222DE">
              <w:rPr>
                <w:sz w:val="22"/>
                <w:szCs w:val="22"/>
              </w:rPr>
              <w:t>by February 1</w:t>
            </w:r>
            <w:r w:rsidR="008918EE">
              <w:rPr>
                <w:sz w:val="22"/>
                <w:szCs w:val="22"/>
              </w:rPr>
              <w:t>5</w:t>
            </w:r>
            <w:r w:rsidRPr="002222DE">
              <w:rPr>
                <w:sz w:val="22"/>
                <w:szCs w:val="22"/>
              </w:rPr>
              <w:t xml:space="preserve">th, immediately begin to withhold Federal income tax as if they </w:t>
            </w:r>
            <w:r w:rsidR="002222DE" w:rsidRPr="002222DE">
              <w:rPr>
                <w:color w:val="000000"/>
                <w:sz w:val="22"/>
                <w:szCs w:val="22"/>
              </w:rPr>
              <w:t>had checked the box for Single or Married filing separately in Step 1(c) and made no entries in Step 2, Step 3, or Step 4 of the 2020 Form W-4.</w:t>
            </w:r>
            <w:r w:rsidR="002222DE">
              <w:rPr>
                <w:color w:val="000000"/>
                <w:sz w:val="22"/>
                <w:szCs w:val="22"/>
              </w:rPr>
              <w:t xml:space="preserve">  </w:t>
            </w:r>
            <w:r w:rsidR="002222DE" w:rsidRPr="002222DE">
              <w:rPr>
                <w:color w:val="000000"/>
                <w:sz w:val="22"/>
                <w:szCs w:val="22"/>
              </w:rPr>
              <w:t>If the employee gives you a new Form W-4 claiming exemption from withholding after February 15, you may apply the exemption to future wages, but don't refund taxes withheld while the exempt status wasn't in place.</w:t>
            </w:r>
          </w:p>
          <w:p w14:paraId="193252D4" w14:textId="77777777" w:rsidR="002222DE" w:rsidRPr="002222DE" w:rsidRDefault="002222DE" w:rsidP="00FD51BB">
            <w:pPr>
              <w:autoSpaceDE w:val="0"/>
              <w:autoSpaceDN w:val="0"/>
              <w:adjustRightInd w:val="0"/>
              <w:rPr>
                <w:rFonts w:ascii="Helvetica World" w:hAnsi="Helvetica World" w:cs="Helvetica World"/>
                <w:color w:val="000000"/>
                <w:szCs w:val="24"/>
              </w:rPr>
            </w:pPr>
          </w:p>
          <w:p w14:paraId="3AA04A22" w14:textId="35AA5C51" w:rsidR="00865818" w:rsidRPr="0055430B" w:rsidRDefault="00360F26" w:rsidP="00FD51BB">
            <w:pPr>
              <w:pStyle w:val="Extmemo"/>
              <w:rPr>
                <w:rFonts w:ascii="Times New Roman" w:hAnsi="Times New Roman"/>
                <w:sz w:val="22"/>
                <w:szCs w:val="22"/>
              </w:rPr>
            </w:pPr>
            <w:r>
              <w:rPr>
                <w:rFonts w:ascii="Times New Roman" w:hAnsi="Times New Roman"/>
                <w:sz w:val="22"/>
                <w:szCs w:val="22"/>
              </w:rPr>
              <w:t xml:space="preserve">Information on how to </w:t>
            </w:r>
            <w:r w:rsidR="00595B40">
              <w:rPr>
                <w:rFonts w:ascii="Times New Roman" w:hAnsi="Times New Roman"/>
                <w:sz w:val="22"/>
                <w:szCs w:val="22"/>
              </w:rPr>
              <w:t>identify this population</w:t>
            </w:r>
            <w:r>
              <w:rPr>
                <w:rFonts w:ascii="Times New Roman" w:hAnsi="Times New Roman"/>
                <w:sz w:val="22"/>
                <w:szCs w:val="22"/>
              </w:rPr>
              <w:t xml:space="preserve"> will be provided </w:t>
            </w:r>
            <w:r w:rsidR="00C06428">
              <w:rPr>
                <w:rFonts w:ascii="Times New Roman" w:hAnsi="Times New Roman"/>
                <w:sz w:val="22"/>
                <w:szCs w:val="22"/>
              </w:rPr>
              <w:t>in late January/</w:t>
            </w:r>
            <w:r>
              <w:rPr>
                <w:rFonts w:ascii="Times New Roman" w:hAnsi="Times New Roman"/>
                <w:sz w:val="22"/>
                <w:szCs w:val="22"/>
              </w:rPr>
              <w:t>early February.</w:t>
            </w:r>
          </w:p>
          <w:p w14:paraId="3248E041" w14:textId="77777777" w:rsidR="00865818" w:rsidRPr="00EF2A29" w:rsidRDefault="00865818" w:rsidP="00FD51BB">
            <w:pPr>
              <w:pStyle w:val="Extmemo"/>
              <w:rPr>
                <w:rFonts w:ascii="Times New Roman" w:hAnsi="Times New Roman"/>
                <w:sz w:val="16"/>
                <w:szCs w:val="16"/>
              </w:rPr>
            </w:pPr>
          </w:p>
          <w:p w14:paraId="30CFF8A7" w14:textId="77777777" w:rsidR="00FD51BB" w:rsidRPr="0055430B" w:rsidRDefault="00865818" w:rsidP="00FD51BB">
            <w:pPr>
              <w:pStyle w:val="Extmemo"/>
              <w:rPr>
                <w:rFonts w:ascii="Times New Roman" w:hAnsi="Times New Roman"/>
                <w:sz w:val="22"/>
                <w:szCs w:val="22"/>
              </w:rPr>
            </w:pPr>
            <w:r w:rsidRPr="0055430B">
              <w:rPr>
                <w:rFonts w:ascii="Times New Roman" w:hAnsi="Times New Roman"/>
                <w:sz w:val="22"/>
                <w:szCs w:val="22"/>
              </w:rPr>
              <w:t>IRS regulations stipulate which employees are eligible to file a W-4 Form with exempt status.  Refer to Section 9 of Publication 15 (Circular E) for more information.</w:t>
            </w:r>
            <w:r w:rsidR="00FD51BB">
              <w:rPr>
                <w:rFonts w:ascii="Times New Roman" w:hAnsi="Times New Roman"/>
                <w:sz w:val="22"/>
                <w:szCs w:val="22"/>
              </w:rPr>
              <w:t xml:space="preserve">  </w:t>
            </w:r>
            <w:hyperlink r:id="rId11" w:history="1">
              <w:r w:rsidR="00FD51BB" w:rsidRPr="001B10AD">
                <w:rPr>
                  <w:rStyle w:val="Hyperlink"/>
                  <w:rFonts w:ascii="Times New Roman" w:hAnsi="Times New Roman"/>
                  <w:sz w:val="22"/>
                  <w:szCs w:val="22"/>
                </w:rPr>
                <w:t>https://www.irs.gov/pub/irs-pdf/p15.pdf</w:t>
              </w:r>
            </w:hyperlink>
          </w:p>
        </w:tc>
      </w:tr>
    </w:tbl>
    <w:p w14:paraId="7AC11933" w14:textId="77777777" w:rsidR="00865818" w:rsidRDefault="00865818" w:rsidP="00BC651B">
      <w:pPr>
        <w:pStyle w:val="BlockLine"/>
        <w:ind w:left="1350"/>
        <w:jc w:val="center"/>
        <w:rPr>
          <w:i/>
          <w:sz w:val="20"/>
        </w:rPr>
      </w:pPr>
    </w:p>
    <w:tbl>
      <w:tblPr>
        <w:tblW w:w="10368" w:type="dxa"/>
        <w:tblLayout w:type="fixed"/>
        <w:tblLook w:val="0000" w:firstRow="0" w:lastRow="0" w:firstColumn="0" w:lastColumn="0" w:noHBand="0" w:noVBand="0"/>
      </w:tblPr>
      <w:tblGrid>
        <w:gridCol w:w="1728"/>
        <w:gridCol w:w="8640"/>
      </w:tblGrid>
      <w:tr w:rsidR="003B0E75" w:rsidRPr="00F342E9" w14:paraId="379639D1" w14:textId="77777777" w:rsidTr="007136FD">
        <w:trPr>
          <w:cantSplit/>
        </w:trPr>
        <w:tc>
          <w:tcPr>
            <w:tcW w:w="1728" w:type="dxa"/>
          </w:tcPr>
          <w:p w14:paraId="5CF0B41C" w14:textId="77777777" w:rsidR="003B0E75" w:rsidRPr="00557E5D" w:rsidRDefault="003B0E75" w:rsidP="007136FD">
            <w:pPr>
              <w:pStyle w:val="Heading5"/>
            </w:pPr>
            <w:r w:rsidRPr="00557E5D">
              <w:t>North Carolina Residents</w:t>
            </w:r>
          </w:p>
        </w:tc>
        <w:tc>
          <w:tcPr>
            <w:tcW w:w="8640" w:type="dxa"/>
          </w:tcPr>
          <w:p w14:paraId="193A764F" w14:textId="77777777" w:rsidR="003B0E75" w:rsidRPr="00865818" w:rsidRDefault="003B0E75" w:rsidP="007136FD">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covered under reciprocity for services </w:t>
            </w:r>
            <w:r w:rsidRPr="00155DC0">
              <w:rPr>
                <w:b/>
                <w:sz w:val="22"/>
                <w:szCs w:val="22"/>
              </w:rPr>
              <w:t>performed in Virginia</w:t>
            </w:r>
            <w:r w:rsidRPr="00865818">
              <w:rPr>
                <w:sz w:val="22"/>
                <w:szCs w:val="22"/>
              </w:rPr>
              <w:t xml:space="preserve"> are subject to Virginia withholding.  </w:t>
            </w:r>
          </w:p>
          <w:p w14:paraId="72D969E5" w14:textId="77777777" w:rsidR="003B0E75" w:rsidRPr="00865818" w:rsidRDefault="003B0E75" w:rsidP="007136FD">
            <w:pPr>
              <w:autoSpaceDE w:val="0"/>
              <w:autoSpaceDN w:val="0"/>
              <w:spacing w:line="240" w:lineRule="exact"/>
              <w:rPr>
                <w:sz w:val="16"/>
                <w:szCs w:val="16"/>
              </w:rPr>
            </w:pPr>
          </w:p>
          <w:p w14:paraId="19C0750C" w14:textId="77777777" w:rsidR="003B0E75" w:rsidRPr="00865818" w:rsidRDefault="003B0E75" w:rsidP="007136FD">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w:t>
            </w:r>
            <w:proofErr w:type="gramStart"/>
            <w:r w:rsidRPr="00865818">
              <w:rPr>
                <w:sz w:val="22"/>
                <w:szCs w:val="22"/>
              </w:rPr>
              <w:t>after tax</w:t>
            </w:r>
            <w:proofErr w:type="gramEnd"/>
            <w:r w:rsidRPr="00865818">
              <w:rPr>
                <w:sz w:val="22"/>
                <w:szCs w:val="22"/>
              </w:rPr>
              <w:t xml:space="preserve"> credit.”</w:t>
            </w:r>
          </w:p>
          <w:p w14:paraId="075714C5" w14:textId="77777777" w:rsidR="003B0E75" w:rsidRPr="00865818" w:rsidRDefault="003B0E75" w:rsidP="007136FD">
            <w:pPr>
              <w:autoSpaceDE w:val="0"/>
              <w:autoSpaceDN w:val="0"/>
              <w:spacing w:line="240" w:lineRule="exact"/>
              <w:rPr>
                <w:sz w:val="16"/>
                <w:szCs w:val="16"/>
              </w:rPr>
            </w:pPr>
          </w:p>
          <w:p w14:paraId="32C48104" w14:textId="77777777" w:rsidR="003075EF" w:rsidRPr="003075EF" w:rsidRDefault="003B0E75" w:rsidP="007136FD">
            <w:pPr>
              <w:autoSpaceDE w:val="0"/>
              <w:autoSpaceDN w:val="0"/>
              <w:spacing w:line="240" w:lineRule="exact"/>
              <w:rPr>
                <w:sz w:val="22"/>
                <w:szCs w:val="22"/>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14:paraId="1934C5B8" w14:textId="77777777" w:rsidR="003075EF" w:rsidRDefault="003075EF"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3075EF" w:rsidRPr="00F342E9" w14:paraId="7963A161" w14:textId="77777777" w:rsidTr="00D83103">
        <w:trPr>
          <w:cantSplit/>
        </w:trPr>
        <w:tc>
          <w:tcPr>
            <w:tcW w:w="1728" w:type="dxa"/>
          </w:tcPr>
          <w:p w14:paraId="1891DF90" w14:textId="77777777" w:rsidR="003075EF" w:rsidRPr="00557E5D" w:rsidRDefault="003075EF" w:rsidP="00D83103">
            <w:pPr>
              <w:pStyle w:val="Heading5"/>
            </w:pPr>
            <w:r>
              <w:t>Withholding for Other States</w:t>
            </w:r>
          </w:p>
        </w:tc>
        <w:tc>
          <w:tcPr>
            <w:tcW w:w="8640" w:type="dxa"/>
          </w:tcPr>
          <w:p w14:paraId="2F3A683D" w14:textId="77777777" w:rsidR="003075EF" w:rsidRPr="00683AC0" w:rsidRDefault="00E25815" w:rsidP="00E25815">
            <w:pPr>
              <w:autoSpaceDE w:val="0"/>
              <w:autoSpaceDN w:val="0"/>
              <w:spacing w:line="240" w:lineRule="exact"/>
              <w:rPr>
                <w:sz w:val="22"/>
                <w:szCs w:val="22"/>
              </w:rPr>
            </w:pPr>
            <w:r w:rsidRPr="00683AC0">
              <w:rPr>
                <w:sz w:val="22"/>
                <w:szCs w:val="22"/>
              </w:rPr>
              <w:t xml:space="preserve">Agencies that hire employees to telework from other states create a business presence (nexus) in those states and are required to research the </w:t>
            </w:r>
            <w:r w:rsidR="00683AC0" w:rsidRPr="00683AC0">
              <w:rPr>
                <w:sz w:val="22"/>
                <w:szCs w:val="22"/>
              </w:rPr>
              <w:t xml:space="preserve">withholding </w:t>
            </w:r>
            <w:r w:rsidRPr="00683AC0">
              <w:rPr>
                <w:sz w:val="22"/>
                <w:szCs w:val="22"/>
              </w:rPr>
              <w:t>tax, unemployment insurance and workers compensation insurance implications associated with that employment.</w:t>
            </w:r>
            <w:r w:rsidR="00155DC0">
              <w:rPr>
                <w:sz w:val="22"/>
                <w:szCs w:val="22"/>
              </w:rPr>
              <w:t xml:space="preserve">  Agencies must request withholding and unemployment accounts as necessary for employees not physically working in Virginia.  </w:t>
            </w:r>
          </w:p>
          <w:p w14:paraId="6EBDA63A" w14:textId="77777777" w:rsidR="00683AC0" w:rsidRPr="00683AC0" w:rsidRDefault="00683AC0" w:rsidP="00E25815">
            <w:pPr>
              <w:autoSpaceDE w:val="0"/>
              <w:autoSpaceDN w:val="0"/>
              <w:spacing w:line="240" w:lineRule="exact"/>
              <w:rPr>
                <w:sz w:val="22"/>
                <w:szCs w:val="22"/>
              </w:rPr>
            </w:pPr>
          </w:p>
          <w:p w14:paraId="7C9EF681" w14:textId="36B75F78" w:rsidR="00683AC0" w:rsidRPr="008974BE" w:rsidRDefault="00683AC0" w:rsidP="00683AC0">
            <w:pPr>
              <w:autoSpaceDE w:val="0"/>
              <w:autoSpaceDN w:val="0"/>
              <w:spacing w:line="240" w:lineRule="exact"/>
              <w:rPr>
                <w:sz w:val="22"/>
                <w:szCs w:val="22"/>
              </w:rPr>
            </w:pPr>
            <w:r w:rsidRPr="008974BE">
              <w:rPr>
                <w:sz w:val="22"/>
                <w:szCs w:val="22"/>
              </w:rPr>
              <w:t xml:space="preserve">Notify SPO as soon as a </w:t>
            </w:r>
            <w:r w:rsidR="008974BE" w:rsidRPr="008974BE">
              <w:rPr>
                <w:sz w:val="22"/>
                <w:szCs w:val="22"/>
              </w:rPr>
              <w:t xml:space="preserve">new employee has been hired in a state previously unreported so that the state can be added to the Company State Tax Table for the agency.  Provide the </w:t>
            </w:r>
            <w:r w:rsidRPr="008974BE">
              <w:rPr>
                <w:sz w:val="22"/>
                <w:szCs w:val="22"/>
              </w:rPr>
              <w:t xml:space="preserve">tax account id </w:t>
            </w:r>
            <w:r w:rsidR="008974BE" w:rsidRPr="008974BE">
              <w:rPr>
                <w:sz w:val="22"/>
                <w:szCs w:val="22"/>
              </w:rPr>
              <w:t xml:space="preserve">as soon as it </w:t>
            </w:r>
            <w:r w:rsidRPr="008974BE">
              <w:rPr>
                <w:sz w:val="22"/>
                <w:szCs w:val="22"/>
              </w:rPr>
              <w:t>has been received for the other state</w:t>
            </w:r>
            <w:r w:rsidR="001540F3" w:rsidRPr="008974BE">
              <w:rPr>
                <w:sz w:val="22"/>
                <w:szCs w:val="22"/>
              </w:rPr>
              <w:t>(</w:t>
            </w:r>
            <w:r w:rsidRPr="008974BE">
              <w:rPr>
                <w:sz w:val="22"/>
                <w:szCs w:val="22"/>
              </w:rPr>
              <w:t>s</w:t>
            </w:r>
            <w:r w:rsidR="001540F3" w:rsidRPr="008974BE">
              <w:rPr>
                <w:sz w:val="22"/>
                <w:szCs w:val="22"/>
              </w:rPr>
              <w:t>)</w:t>
            </w:r>
            <w:r w:rsidRPr="008974BE">
              <w:rPr>
                <w:sz w:val="22"/>
                <w:szCs w:val="22"/>
              </w:rPr>
              <w:t xml:space="preserve"> so that the state tax information on the W-2s will be correct. </w:t>
            </w:r>
            <w:r w:rsidR="008974BE" w:rsidRPr="008974BE">
              <w:rPr>
                <w:sz w:val="22"/>
                <w:szCs w:val="22"/>
              </w:rPr>
              <w:t>Contact the Department of Human Resource Management for information on workers compensation in other states.</w:t>
            </w:r>
          </w:p>
        </w:tc>
      </w:tr>
    </w:tbl>
    <w:p w14:paraId="7E330371" w14:textId="77777777" w:rsidR="001E3DF9" w:rsidRDefault="001E3DF9"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1E3DF9" w:rsidRPr="0055430B" w14:paraId="2FB46576" w14:textId="77777777" w:rsidTr="00CD607E">
        <w:trPr>
          <w:cantSplit/>
        </w:trPr>
        <w:tc>
          <w:tcPr>
            <w:tcW w:w="1728" w:type="dxa"/>
          </w:tcPr>
          <w:p w14:paraId="0617F3F9" w14:textId="77777777" w:rsidR="001E3DF9" w:rsidRPr="0055430B" w:rsidRDefault="001E3DF9" w:rsidP="00CD607E">
            <w:pPr>
              <w:pStyle w:val="Heading5"/>
              <w:rPr>
                <w:szCs w:val="22"/>
              </w:rPr>
            </w:pPr>
            <w:r>
              <w:rPr>
                <w:szCs w:val="22"/>
              </w:rPr>
              <w:t>Virginia Minimum Wage</w:t>
            </w:r>
          </w:p>
        </w:tc>
        <w:tc>
          <w:tcPr>
            <w:tcW w:w="8640" w:type="dxa"/>
          </w:tcPr>
          <w:p w14:paraId="5FF75CEA" w14:textId="33D846C7" w:rsidR="00B77559" w:rsidRPr="0055430B" w:rsidRDefault="001E3DF9" w:rsidP="00B77559">
            <w:pPr>
              <w:pStyle w:val="Extmemo"/>
              <w:rPr>
                <w:rFonts w:ascii="Times New Roman" w:hAnsi="Times New Roman"/>
                <w:sz w:val="22"/>
                <w:szCs w:val="22"/>
              </w:rPr>
            </w:pPr>
            <w:r>
              <w:rPr>
                <w:rFonts w:ascii="Times New Roman" w:hAnsi="Times New Roman"/>
                <w:sz w:val="22"/>
                <w:szCs w:val="22"/>
              </w:rPr>
              <w:t xml:space="preserve">Virginia’s minimum wage increased from </w:t>
            </w:r>
            <w:r w:rsidR="00B77559">
              <w:rPr>
                <w:rFonts w:ascii="Times New Roman" w:hAnsi="Times New Roman"/>
                <w:sz w:val="22"/>
                <w:szCs w:val="22"/>
              </w:rPr>
              <w:t>11.00</w:t>
            </w:r>
            <w:r>
              <w:rPr>
                <w:rFonts w:ascii="Times New Roman" w:hAnsi="Times New Roman"/>
                <w:sz w:val="22"/>
                <w:szCs w:val="22"/>
              </w:rPr>
              <w:t xml:space="preserve"> to $1</w:t>
            </w:r>
            <w:r w:rsidR="00B77559">
              <w:rPr>
                <w:rFonts w:ascii="Times New Roman" w:hAnsi="Times New Roman"/>
                <w:sz w:val="22"/>
                <w:szCs w:val="22"/>
              </w:rPr>
              <w:t>2</w:t>
            </w:r>
            <w:r>
              <w:rPr>
                <w:rFonts w:ascii="Times New Roman" w:hAnsi="Times New Roman"/>
                <w:sz w:val="22"/>
                <w:szCs w:val="22"/>
              </w:rPr>
              <w:t xml:space="preserve">.00 per hour effective January 1, </w:t>
            </w:r>
            <w:r w:rsidR="008D1D03">
              <w:rPr>
                <w:rFonts w:ascii="Times New Roman" w:hAnsi="Times New Roman"/>
                <w:sz w:val="22"/>
                <w:szCs w:val="22"/>
              </w:rPr>
              <w:t>2023</w:t>
            </w:r>
            <w:r>
              <w:rPr>
                <w:rFonts w:ascii="Times New Roman" w:hAnsi="Times New Roman"/>
                <w:sz w:val="22"/>
                <w:szCs w:val="22"/>
              </w:rPr>
              <w:t>.  Minimum salary for employees is $2</w:t>
            </w:r>
            <w:r w:rsidR="00B77559">
              <w:rPr>
                <w:rFonts w:ascii="Times New Roman" w:hAnsi="Times New Roman"/>
                <w:sz w:val="22"/>
                <w:szCs w:val="22"/>
              </w:rPr>
              <w:t>4</w:t>
            </w:r>
            <w:r>
              <w:rPr>
                <w:rFonts w:ascii="Times New Roman" w:hAnsi="Times New Roman"/>
                <w:sz w:val="22"/>
                <w:szCs w:val="22"/>
              </w:rPr>
              <w:t>,</w:t>
            </w:r>
            <w:r w:rsidR="00B77559">
              <w:rPr>
                <w:rFonts w:ascii="Times New Roman" w:hAnsi="Times New Roman"/>
                <w:sz w:val="22"/>
                <w:szCs w:val="22"/>
              </w:rPr>
              <w:t>960</w:t>
            </w:r>
            <w:r>
              <w:rPr>
                <w:rFonts w:ascii="Times New Roman" w:hAnsi="Times New Roman"/>
                <w:sz w:val="22"/>
                <w:szCs w:val="22"/>
              </w:rPr>
              <w:t xml:space="preserve"> per year.</w:t>
            </w:r>
            <w:r w:rsidR="00185EA8">
              <w:rPr>
                <w:rFonts w:ascii="Times New Roman" w:hAnsi="Times New Roman"/>
                <w:sz w:val="22"/>
                <w:szCs w:val="22"/>
              </w:rPr>
              <w:t xml:space="preserve">  </w:t>
            </w:r>
            <w:hyperlink r:id="rId12" w:history="1">
              <w:r w:rsidR="00B77559" w:rsidRPr="00413680">
                <w:rPr>
                  <w:rStyle w:val="Hyperlink"/>
                  <w:rFonts w:ascii="Times New Roman" w:hAnsi="Times New Roman"/>
                  <w:sz w:val="22"/>
                  <w:szCs w:val="22"/>
                </w:rPr>
                <w:t>https://law.lis.virginia.gov/vacode/title40.1/chapter3/section40.1-28.10/</w:t>
              </w:r>
            </w:hyperlink>
          </w:p>
        </w:tc>
      </w:tr>
    </w:tbl>
    <w:p w14:paraId="36A51B49" w14:textId="77777777" w:rsidR="006160BC" w:rsidRDefault="006160BC" w:rsidP="006160BC">
      <w:pPr>
        <w:pStyle w:val="BlockLine"/>
        <w:ind w:left="1350"/>
        <w:jc w:val="right"/>
        <w:rPr>
          <w:i/>
          <w:sz w:val="20"/>
        </w:rPr>
      </w:pPr>
      <w:proofErr w:type="gramStart"/>
      <w:r>
        <w:rPr>
          <w:i/>
          <w:sz w:val="20"/>
        </w:rPr>
        <w:t>Continued on</w:t>
      </w:r>
      <w:proofErr w:type="gramEnd"/>
      <w:r>
        <w:rPr>
          <w:i/>
          <w:sz w:val="20"/>
        </w:rPr>
        <w:t xml:space="preserve"> next page</w:t>
      </w:r>
    </w:p>
    <w:p w14:paraId="77149AEE" w14:textId="77777777" w:rsidR="00461F84" w:rsidRPr="00602BF2" w:rsidRDefault="006160BC" w:rsidP="006160BC">
      <w:pPr>
        <w:rPr>
          <w:szCs w:val="24"/>
        </w:rPr>
      </w:pPr>
      <w:r>
        <w:br w:type="page"/>
      </w:r>
      <w:r w:rsidR="00461F84" w:rsidRPr="00602BF2">
        <w:rPr>
          <w:b/>
          <w:sz w:val="28"/>
          <w:szCs w:val="28"/>
        </w:rPr>
        <w:t>Payroll Accounting</w:t>
      </w:r>
      <w:r w:rsidR="00461F84" w:rsidRPr="006779A5">
        <w:rPr>
          <w:sz w:val="28"/>
          <w:szCs w:val="28"/>
        </w:rPr>
        <w:t xml:space="preserve">, </w:t>
      </w:r>
      <w:r w:rsidR="00461F84" w:rsidRPr="00602BF2">
        <w:rPr>
          <w:szCs w:val="24"/>
        </w:rPr>
        <w:t>continued</w:t>
      </w:r>
    </w:p>
    <w:p w14:paraId="6C888D60" w14:textId="77777777"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14:paraId="5B446F9D" w14:textId="77777777" w:rsidTr="00F65C63">
        <w:trPr>
          <w:cantSplit/>
          <w:trHeight w:val="2979"/>
        </w:trPr>
        <w:tc>
          <w:tcPr>
            <w:tcW w:w="1728" w:type="dxa"/>
          </w:tcPr>
          <w:p w14:paraId="4DA491E3" w14:textId="77777777" w:rsidR="00033B6E" w:rsidRPr="00557E5D" w:rsidRDefault="00ED1D0A" w:rsidP="0042401C">
            <w:pPr>
              <w:pStyle w:val="Heading5"/>
            </w:pPr>
            <w:r w:rsidRPr="00557E5D">
              <w:br w:type="page"/>
            </w:r>
            <w:r w:rsidR="00033B6E" w:rsidRPr="00557E5D">
              <w:t>Name Changes</w:t>
            </w:r>
          </w:p>
        </w:tc>
        <w:tc>
          <w:tcPr>
            <w:tcW w:w="8640" w:type="dxa"/>
          </w:tcPr>
          <w:p w14:paraId="3D7D8E9A" w14:textId="648EC369" w:rsidR="00DD0A76" w:rsidRDefault="00033B6E" w:rsidP="00607BA3">
            <w:pPr>
              <w:pStyle w:val="Extmemo"/>
              <w:rPr>
                <w:rFonts w:ascii="Times New Roman" w:hAnsi="Times New Roman"/>
                <w:sz w:val="22"/>
                <w:szCs w:val="22"/>
              </w:rPr>
            </w:pPr>
            <w:r w:rsidRPr="00865818">
              <w:rPr>
                <w:rFonts w:ascii="Times New Roman" w:hAnsi="Times New Roman"/>
                <w:sz w:val="22"/>
                <w:szCs w:val="22"/>
              </w:rPr>
              <w:t>Employees requesting name changes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 xml:space="preserve">Name changes for existing employees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F65C63">
              <w:rPr>
                <w:rFonts w:ascii="Times New Roman" w:hAnsi="Times New Roman"/>
                <w:sz w:val="22"/>
                <w:szCs w:val="22"/>
              </w:rPr>
              <w:t>HCM</w:t>
            </w:r>
            <w:r w:rsidR="00026AF7" w:rsidRPr="00865818">
              <w:rPr>
                <w:rFonts w:ascii="Times New Roman" w:hAnsi="Times New Roman"/>
                <w:sz w:val="22"/>
                <w:szCs w:val="22"/>
              </w:rPr>
              <w:t xml:space="preserve">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w:t>
            </w:r>
            <w:r w:rsidR="00F65C63">
              <w:rPr>
                <w:rFonts w:ascii="Times New Roman" w:hAnsi="Times New Roman"/>
                <w:sz w:val="22"/>
                <w:szCs w:val="22"/>
              </w:rPr>
              <w:t>HCM</w:t>
            </w:r>
            <w:r w:rsidRPr="00865818">
              <w:rPr>
                <w:rFonts w:ascii="Times New Roman" w:hAnsi="Times New Roman"/>
                <w:sz w:val="22"/>
                <w:szCs w:val="22"/>
              </w:rPr>
              <w:t xml:space="preserve"> but not with the SSA, the name will not match SSA records when DOA remits the W-2 </w:t>
            </w:r>
            <w:r w:rsidR="00607BA3">
              <w:rPr>
                <w:rFonts w:ascii="Times New Roman" w:hAnsi="Times New Roman"/>
                <w:sz w:val="22"/>
                <w:szCs w:val="22"/>
              </w:rPr>
              <w:t xml:space="preserve">file, </w:t>
            </w:r>
            <w:r w:rsidRPr="00865818">
              <w:rPr>
                <w:rFonts w:ascii="Times New Roman" w:hAnsi="Times New Roman"/>
                <w:sz w:val="22"/>
                <w:szCs w:val="22"/>
              </w:rPr>
              <w:t xml:space="preserve">possibly resulting in agency penalties.  </w:t>
            </w:r>
            <w:r w:rsidRPr="00995CFE">
              <w:rPr>
                <w:rFonts w:ascii="Times New Roman" w:hAnsi="Times New Roman"/>
                <w:sz w:val="22"/>
                <w:szCs w:val="22"/>
              </w:rPr>
              <w:t>Refer to section 4 of Publication 15 (Circular E) for more information.</w:t>
            </w:r>
          </w:p>
          <w:p w14:paraId="14D47B52" w14:textId="77777777" w:rsidR="00DD0A76" w:rsidRPr="00DD0A76" w:rsidRDefault="00DD0A76" w:rsidP="00607BA3">
            <w:pPr>
              <w:pStyle w:val="Extmemo"/>
              <w:rPr>
                <w:rFonts w:ascii="Times New Roman" w:hAnsi="Times New Roman"/>
                <w:sz w:val="16"/>
                <w:szCs w:val="16"/>
              </w:rPr>
            </w:pPr>
          </w:p>
          <w:p w14:paraId="368BB64E" w14:textId="0B6609B3" w:rsidR="00033B6E" w:rsidRDefault="00F65C63" w:rsidP="00607BA3">
            <w:pPr>
              <w:pStyle w:val="Extmemo"/>
              <w:rPr>
                <w:rFonts w:ascii="Times New Roman" w:hAnsi="Times New Roman"/>
                <w:sz w:val="22"/>
                <w:szCs w:val="22"/>
              </w:rPr>
            </w:pPr>
            <w:r w:rsidRPr="00F65C63">
              <w:rPr>
                <w:rFonts w:ascii="Times New Roman" w:hAnsi="Times New Roman"/>
                <w:sz w:val="22"/>
                <w:szCs w:val="22"/>
              </w:rPr>
              <w:t>You may use the Social Security Number Verification Service (SSNVS) at SSA.gov/employer/ssnv.htm to verify that an employee name matches an SSN.</w:t>
            </w:r>
            <w:r w:rsidR="00033B6E" w:rsidRPr="00865818">
              <w:rPr>
                <w:rFonts w:ascii="Times New Roman" w:hAnsi="Times New Roman"/>
                <w:sz w:val="22"/>
                <w:szCs w:val="22"/>
              </w:rPr>
              <w:t xml:space="preserve"> </w:t>
            </w:r>
          </w:p>
          <w:p w14:paraId="6EED6E32" w14:textId="77777777" w:rsidR="00F65C63" w:rsidRPr="00865818" w:rsidRDefault="00F65C63" w:rsidP="00607BA3">
            <w:pPr>
              <w:pStyle w:val="Extmemo"/>
              <w:rPr>
                <w:rFonts w:ascii="Times New Roman" w:hAnsi="Times New Roman"/>
                <w:sz w:val="22"/>
                <w:szCs w:val="22"/>
              </w:rPr>
            </w:pPr>
          </w:p>
          <w:p w14:paraId="28DDAD0C" w14:textId="77777777" w:rsidR="00C66B4B" w:rsidRPr="00557E5D" w:rsidRDefault="005A1168" w:rsidP="00607BA3">
            <w:pPr>
              <w:pStyle w:val="Extmemo"/>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14:paraId="6B7AB419" w14:textId="77777777" w:rsidR="008C561B" w:rsidRDefault="008C561B" w:rsidP="008C561B">
      <w:pPr>
        <w:pStyle w:val="BlockLine"/>
        <w:ind w:left="1350"/>
        <w:rPr>
          <w:sz w:val="16"/>
          <w:szCs w:val="16"/>
        </w:rPr>
      </w:pPr>
    </w:p>
    <w:p w14:paraId="41D435CB" w14:textId="77777777" w:rsidR="0014421E" w:rsidRPr="00910924" w:rsidRDefault="0014421E" w:rsidP="00323912">
      <w:pPr>
        <w:rPr>
          <w:b/>
          <w:bCs/>
          <w:sz w:val="28"/>
          <w:szCs w:val="28"/>
        </w:rPr>
      </w:pPr>
      <w:r w:rsidRPr="00910924">
        <w:rPr>
          <w:b/>
          <w:bCs/>
          <w:sz w:val="28"/>
          <w:szCs w:val="28"/>
        </w:rPr>
        <w:t>Payroll Deductions</w:t>
      </w:r>
    </w:p>
    <w:p w14:paraId="05207D99" w14:textId="77777777"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14:paraId="26FDB64F" w14:textId="77777777" w:rsidTr="00EF6516">
        <w:trPr>
          <w:cantSplit/>
        </w:trPr>
        <w:tc>
          <w:tcPr>
            <w:tcW w:w="1728" w:type="dxa"/>
          </w:tcPr>
          <w:p w14:paraId="5B8DFA82" w14:textId="6262DD3A" w:rsidR="00336B3A" w:rsidRDefault="00336B3A" w:rsidP="00DD03F7">
            <w:pPr>
              <w:pStyle w:val="Heading5"/>
            </w:pPr>
            <w:r w:rsidRPr="00336410">
              <w:t xml:space="preserve">CVC Deduction </w:t>
            </w:r>
          </w:p>
        </w:tc>
        <w:tc>
          <w:tcPr>
            <w:tcW w:w="8640" w:type="dxa"/>
          </w:tcPr>
          <w:p w14:paraId="7AAF973B" w14:textId="77777777" w:rsidR="00336B3A" w:rsidRDefault="00113353" w:rsidP="00334B93">
            <w:pPr>
              <w:pStyle w:val="Extmemo"/>
              <w:jc w:val="both"/>
              <w:rPr>
                <w:rFonts w:ascii="Times New Roman" w:hAnsi="Times New Roman"/>
                <w:sz w:val="22"/>
                <w:szCs w:val="22"/>
              </w:rPr>
            </w:pPr>
            <w:r w:rsidRPr="0082242F">
              <w:rPr>
                <w:rFonts w:ascii="Times New Roman" w:hAnsi="Times New Roman"/>
                <w:sz w:val="22"/>
                <w:szCs w:val="22"/>
              </w:rPr>
              <w:t xml:space="preserve">DHRM will provide a file that will be used </w:t>
            </w:r>
            <w:r w:rsidR="00DD03F7">
              <w:rPr>
                <w:rFonts w:ascii="Times New Roman" w:hAnsi="Times New Roman"/>
                <w:sz w:val="22"/>
                <w:szCs w:val="22"/>
              </w:rPr>
              <w:t xml:space="preserve">by State Payroll Operations </w:t>
            </w:r>
            <w:r w:rsidRPr="0082242F">
              <w:rPr>
                <w:rFonts w:ascii="Times New Roman" w:hAnsi="Times New Roman"/>
                <w:sz w:val="22"/>
                <w:szCs w:val="22"/>
              </w:rPr>
              <w:t xml:space="preserve">to </w:t>
            </w:r>
            <w:r w:rsidR="00336B3A" w:rsidRPr="0082242F">
              <w:rPr>
                <w:rFonts w:ascii="Times New Roman" w:hAnsi="Times New Roman"/>
                <w:sz w:val="22"/>
                <w:szCs w:val="22"/>
              </w:rPr>
              <w:t xml:space="preserve">establish CVC deductions </w:t>
            </w:r>
            <w:r w:rsidRPr="0082242F">
              <w:rPr>
                <w:rFonts w:ascii="Times New Roman" w:hAnsi="Times New Roman"/>
                <w:sz w:val="22"/>
                <w:szCs w:val="22"/>
              </w:rPr>
              <w:t>for</w:t>
            </w:r>
            <w:r w:rsidR="00336B3A" w:rsidRPr="0082242F">
              <w:rPr>
                <w:rFonts w:ascii="Times New Roman" w:hAnsi="Times New Roman"/>
                <w:sz w:val="22"/>
                <w:szCs w:val="22"/>
              </w:rPr>
              <w:t xml:space="preserve"> </w:t>
            </w:r>
            <w:r w:rsidRPr="0082242F">
              <w:rPr>
                <w:rFonts w:ascii="Times New Roman" w:hAnsi="Times New Roman"/>
                <w:sz w:val="22"/>
                <w:szCs w:val="22"/>
              </w:rPr>
              <w:t xml:space="preserve">calendar </w:t>
            </w:r>
            <w:r w:rsidR="00336B3A" w:rsidRPr="0082242F">
              <w:rPr>
                <w:rFonts w:ascii="Times New Roman" w:hAnsi="Times New Roman"/>
                <w:sz w:val="22"/>
                <w:szCs w:val="22"/>
              </w:rPr>
              <w:t xml:space="preserve">year </w:t>
            </w:r>
            <w:r w:rsidR="008D1D03">
              <w:rPr>
                <w:rFonts w:ascii="Times New Roman" w:hAnsi="Times New Roman"/>
                <w:sz w:val="22"/>
                <w:szCs w:val="22"/>
              </w:rPr>
              <w:t>2023</w:t>
            </w:r>
            <w:r w:rsidRPr="0082242F">
              <w:rPr>
                <w:rFonts w:ascii="Times New Roman" w:hAnsi="Times New Roman"/>
                <w:sz w:val="22"/>
                <w:szCs w:val="22"/>
              </w:rPr>
              <w:t xml:space="preserve">.  This file </w:t>
            </w:r>
            <w:r w:rsidR="00A35E36" w:rsidRPr="0082242F">
              <w:rPr>
                <w:rFonts w:ascii="Times New Roman" w:hAnsi="Times New Roman"/>
                <w:sz w:val="22"/>
                <w:szCs w:val="22"/>
              </w:rPr>
              <w:t xml:space="preserve">will be processed during </w:t>
            </w:r>
            <w:r w:rsidR="00336B3A" w:rsidRPr="0082242F">
              <w:rPr>
                <w:rFonts w:ascii="Times New Roman" w:hAnsi="Times New Roman"/>
                <w:sz w:val="22"/>
                <w:szCs w:val="22"/>
              </w:rPr>
              <w:t xml:space="preserve">the first </w:t>
            </w:r>
            <w:r w:rsidR="00334B93">
              <w:rPr>
                <w:rFonts w:ascii="Times New Roman" w:hAnsi="Times New Roman"/>
                <w:sz w:val="22"/>
                <w:szCs w:val="22"/>
              </w:rPr>
              <w:t xml:space="preserve">pay period of </w:t>
            </w:r>
            <w:r w:rsidR="00336B3A" w:rsidRPr="0082242F">
              <w:rPr>
                <w:rFonts w:ascii="Times New Roman" w:hAnsi="Times New Roman"/>
                <w:sz w:val="22"/>
                <w:szCs w:val="22"/>
              </w:rPr>
              <w:t xml:space="preserve">January.  </w:t>
            </w:r>
            <w:r w:rsidR="00336B3A" w:rsidRPr="00EB1EF4">
              <w:rPr>
                <w:rFonts w:ascii="Times New Roman" w:hAnsi="Times New Roman"/>
                <w:sz w:val="22"/>
                <w:szCs w:val="22"/>
              </w:rPr>
              <w:t xml:space="preserve">Reports will be provided by </w:t>
            </w:r>
            <w:proofErr w:type="gramStart"/>
            <w:r w:rsidR="00336B3A" w:rsidRPr="00EB1EF4">
              <w:rPr>
                <w:rFonts w:ascii="Times New Roman" w:hAnsi="Times New Roman"/>
                <w:sz w:val="22"/>
                <w:szCs w:val="22"/>
              </w:rPr>
              <w:t>DHRM</w:t>
            </w:r>
            <w:proofErr w:type="gramEnd"/>
            <w:r w:rsidR="00336B3A" w:rsidRPr="00EB1EF4">
              <w:rPr>
                <w:rFonts w:ascii="Times New Roman" w:hAnsi="Times New Roman"/>
                <w:sz w:val="22"/>
                <w:szCs w:val="22"/>
              </w:rPr>
              <w:t xml:space="preserve"> and some manual entry may be required as well.</w:t>
            </w:r>
          </w:p>
          <w:p w14:paraId="50A5C9DB" w14:textId="77777777" w:rsidR="00DD03F7" w:rsidRDefault="00DD03F7" w:rsidP="00334B93">
            <w:pPr>
              <w:pStyle w:val="Extmemo"/>
              <w:jc w:val="both"/>
              <w:rPr>
                <w:rFonts w:ascii="Times New Roman" w:hAnsi="Times New Roman"/>
                <w:sz w:val="22"/>
                <w:szCs w:val="22"/>
              </w:rPr>
            </w:pPr>
          </w:p>
          <w:p w14:paraId="556BE359" w14:textId="4B5EEDEB" w:rsidR="00DD03F7" w:rsidRPr="00E77B9C" w:rsidRDefault="00DD03F7" w:rsidP="00334B93">
            <w:pPr>
              <w:pStyle w:val="Extmemo"/>
              <w:jc w:val="both"/>
              <w:rPr>
                <w:rFonts w:ascii="Times New Roman" w:hAnsi="Times New Roman"/>
                <w:sz w:val="22"/>
                <w:szCs w:val="22"/>
              </w:rPr>
            </w:pPr>
            <w:r>
              <w:rPr>
                <w:rFonts w:ascii="Times New Roman" w:hAnsi="Times New Roman"/>
                <w:sz w:val="22"/>
                <w:szCs w:val="22"/>
              </w:rPr>
              <w:t>Remember that CVC deductions are general deductions.  Please use an end date of 12/24/2023 on all deductions entered manually.</w:t>
            </w:r>
          </w:p>
        </w:tc>
      </w:tr>
    </w:tbl>
    <w:p w14:paraId="1310872E" w14:textId="77777777" w:rsidR="009E35C8" w:rsidRDefault="009E35C8" w:rsidP="00F870FB">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9E35C8" w14:paraId="56BFB50F" w14:textId="77777777" w:rsidTr="007C4BF3">
        <w:trPr>
          <w:cantSplit/>
        </w:trPr>
        <w:tc>
          <w:tcPr>
            <w:tcW w:w="1728" w:type="dxa"/>
          </w:tcPr>
          <w:p w14:paraId="2D684F12" w14:textId="77777777" w:rsidR="009E35C8" w:rsidRPr="00557E5D" w:rsidRDefault="009E35C8" w:rsidP="007C4BF3">
            <w:pPr>
              <w:pStyle w:val="Heading5"/>
            </w:pPr>
            <w:r w:rsidRPr="00557E5D">
              <w:t>Optional Life Update</w:t>
            </w:r>
          </w:p>
        </w:tc>
        <w:tc>
          <w:tcPr>
            <w:tcW w:w="8640" w:type="dxa"/>
          </w:tcPr>
          <w:p w14:paraId="098FA7CD" w14:textId="72BE5503" w:rsidR="00ED1B45" w:rsidRDefault="009E35C8" w:rsidP="007C4BF3">
            <w:pPr>
              <w:pStyle w:val="Extmemo"/>
              <w:rPr>
                <w:rFonts w:ascii="Times New Roman" w:hAnsi="Times New Roman"/>
                <w:sz w:val="22"/>
                <w:szCs w:val="22"/>
              </w:rPr>
            </w:pPr>
            <w:r w:rsidRPr="00DC71AE">
              <w:rPr>
                <w:rFonts w:ascii="Times New Roman" w:hAnsi="Times New Roman"/>
                <w:sz w:val="22"/>
                <w:szCs w:val="22"/>
              </w:rPr>
              <w:t>Optional Group Life Premium</w:t>
            </w:r>
            <w:r w:rsidR="00DC71AE" w:rsidRPr="00DC71AE">
              <w:rPr>
                <w:rFonts w:ascii="Times New Roman" w:hAnsi="Times New Roman"/>
                <w:sz w:val="22"/>
                <w:szCs w:val="22"/>
              </w:rPr>
              <w:t>s updated for 2023 will be loaded during the 12/25-01/09 pay period by State Payroll Operations.  Please review the Minnesota Life Upload Err R</w:t>
            </w:r>
            <w:r w:rsidR="00ED1B45">
              <w:rPr>
                <w:rFonts w:ascii="Times New Roman" w:hAnsi="Times New Roman"/>
                <w:sz w:val="22"/>
                <w:szCs w:val="22"/>
              </w:rPr>
              <w:t>e</w:t>
            </w:r>
            <w:r w:rsidR="00DC71AE" w:rsidRPr="00DC71AE">
              <w:rPr>
                <w:rFonts w:ascii="Times New Roman" w:hAnsi="Times New Roman"/>
                <w:sz w:val="22"/>
                <w:szCs w:val="22"/>
              </w:rPr>
              <w:t>p</w:t>
            </w:r>
            <w:r w:rsidR="00ED1B45">
              <w:rPr>
                <w:rFonts w:ascii="Times New Roman" w:hAnsi="Times New Roman"/>
                <w:sz w:val="22"/>
                <w:szCs w:val="22"/>
              </w:rPr>
              <w:t>or</w:t>
            </w:r>
            <w:r w:rsidR="00DC71AE" w:rsidRPr="00DC71AE">
              <w:rPr>
                <w:rFonts w:ascii="Times New Roman" w:hAnsi="Times New Roman"/>
                <w:sz w:val="22"/>
                <w:szCs w:val="22"/>
              </w:rPr>
              <w:t>t</w:t>
            </w:r>
            <w:r w:rsidR="00DC71AE">
              <w:rPr>
                <w:rFonts w:ascii="Times New Roman" w:hAnsi="Times New Roman"/>
                <w:sz w:val="22"/>
                <w:szCs w:val="22"/>
              </w:rPr>
              <w:t xml:space="preserve"> </w:t>
            </w:r>
            <w:r w:rsidR="00ED1B45">
              <w:rPr>
                <w:rFonts w:ascii="Times New Roman" w:hAnsi="Times New Roman"/>
                <w:sz w:val="22"/>
                <w:szCs w:val="22"/>
              </w:rPr>
              <w:t>once you have been notified that the job has completed a</w:t>
            </w:r>
            <w:r w:rsidR="00DC71AE">
              <w:rPr>
                <w:rFonts w:ascii="Times New Roman" w:hAnsi="Times New Roman"/>
                <w:sz w:val="22"/>
                <w:szCs w:val="22"/>
              </w:rPr>
              <w:t>nd take the necessary steps to correct records that did not load.</w:t>
            </w:r>
            <w:r w:rsidR="00ED1B45">
              <w:rPr>
                <w:rFonts w:ascii="Times New Roman" w:hAnsi="Times New Roman"/>
                <w:sz w:val="22"/>
                <w:szCs w:val="22"/>
              </w:rPr>
              <w:t xml:space="preserve">  </w:t>
            </w:r>
          </w:p>
          <w:p w14:paraId="150DD888" w14:textId="77777777" w:rsidR="00ED1B45" w:rsidRDefault="00ED1B45" w:rsidP="007C4BF3">
            <w:pPr>
              <w:pStyle w:val="Extmemo"/>
              <w:rPr>
                <w:rFonts w:ascii="Times New Roman" w:hAnsi="Times New Roman"/>
                <w:sz w:val="22"/>
                <w:szCs w:val="22"/>
              </w:rPr>
            </w:pPr>
          </w:p>
          <w:p w14:paraId="27C8D5A0" w14:textId="672517C5" w:rsidR="00DC71AE" w:rsidRPr="00ED1B45" w:rsidRDefault="00ED1B45" w:rsidP="007C4BF3">
            <w:pPr>
              <w:pStyle w:val="Extmemo"/>
              <w:rPr>
                <w:rFonts w:ascii="Times New Roman" w:hAnsi="Times New Roman"/>
                <w:sz w:val="22"/>
                <w:szCs w:val="22"/>
              </w:rPr>
            </w:pPr>
            <w:r w:rsidRPr="00ED1B45">
              <w:rPr>
                <w:rFonts w:ascii="Times New Roman" w:hAnsi="Times New Roman"/>
                <w:sz w:val="22"/>
                <w:szCs w:val="22"/>
              </w:rPr>
              <w:t>Navigator &gt; Payroll for North America &gt; Payroll Processing USA &gt; Pay Period Reports &gt; Minnesota Life Upload Err Rp</w:t>
            </w:r>
          </w:p>
          <w:p w14:paraId="565438C5" w14:textId="77777777" w:rsidR="00DC71AE" w:rsidRPr="00ED1B45" w:rsidRDefault="00DC71AE" w:rsidP="007C4BF3">
            <w:pPr>
              <w:pStyle w:val="Extmemo"/>
              <w:rPr>
                <w:rFonts w:ascii="Times New Roman" w:hAnsi="Times New Roman"/>
                <w:sz w:val="22"/>
                <w:szCs w:val="22"/>
              </w:rPr>
            </w:pPr>
          </w:p>
          <w:p w14:paraId="15AE31F8" w14:textId="5EB8103F" w:rsidR="009E35C8" w:rsidRPr="00DC71AE" w:rsidRDefault="009E35C8" w:rsidP="007C4BF3">
            <w:pPr>
              <w:pStyle w:val="Extmemo"/>
              <w:rPr>
                <w:rFonts w:ascii="Times New Roman" w:hAnsi="Times New Roman"/>
                <w:sz w:val="22"/>
                <w:szCs w:val="22"/>
              </w:rPr>
            </w:pPr>
            <w:r w:rsidRPr="00DC71AE">
              <w:rPr>
                <w:rFonts w:ascii="Times New Roman" w:hAnsi="Times New Roman"/>
                <w:sz w:val="22"/>
                <w:szCs w:val="22"/>
              </w:rPr>
              <w:t xml:space="preserve">For questions regarding OGL, contact Holly Greer-Riggs in the Richmond Branch Office of Securian Financial at 1-800-441-2258 x101 or via email at </w:t>
            </w:r>
            <w:hyperlink r:id="rId14" w:history="1">
              <w:r w:rsidRPr="00DC71AE">
                <w:rPr>
                  <w:rStyle w:val="Hyperlink"/>
                  <w:rFonts w:ascii="Times New Roman" w:hAnsi="Times New Roman"/>
                  <w:sz w:val="22"/>
                  <w:szCs w:val="22"/>
                </w:rPr>
                <w:t>holly.GreerRiggs@securian.com</w:t>
              </w:r>
            </w:hyperlink>
            <w:r w:rsidRPr="00DC71AE">
              <w:rPr>
                <w:rFonts w:ascii="Times New Roman" w:hAnsi="Times New Roman"/>
                <w:sz w:val="22"/>
                <w:szCs w:val="22"/>
              </w:rPr>
              <w:t xml:space="preserve"> or FAX 804-644-2460.</w:t>
            </w:r>
          </w:p>
        </w:tc>
      </w:tr>
    </w:tbl>
    <w:p w14:paraId="3C4CA122" w14:textId="77777777" w:rsidR="00003CAF" w:rsidRDefault="00003CAF" w:rsidP="00F870FB">
      <w:pPr>
        <w:pStyle w:val="BlockLine"/>
        <w:ind w:left="1350"/>
        <w:jc w:val="right"/>
        <w:rPr>
          <w:i/>
          <w:sz w:val="20"/>
        </w:rPr>
      </w:pPr>
    </w:p>
    <w:tbl>
      <w:tblPr>
        <w:tblW w:w="10368" w:type="dxa"/>
        <w:tblLayout w:type="fixed"/>
        <w:tblLook w:val="0000" w:firstRow="0" w:lastRow="0" w:firstColumn="0" w:lastColumn="0" w:noHBand="0" w:noVBand="0"/>
      </w:tblPr>
      <w:tblGrid>
        <w:gridCol w:w="1818"/>
        <w:gridCol w:w="8550"/>
      </w:tblGrid>
      <w:tr w:rsidR="00003CAF" w14:paraId="5423C461" w14:textId="77777777" w:rsidTr="007C4BF3">
        <w:trPr>
          <w:cantSplit/>
        </w:trPr>
        <w:tc>
          <w:tcPr>
            <w:tcW w:w="1818" w:type="dxa"/>
          </w:tcPr>
          <w:p w14:paraId="4BD56635" w14:textId="77777777" w:rsidR="00003CAF" w:rsidRPr="0042401C" w:rsidRDefault="00003CAF" w:rsidP="007C4BF3">
            <w:pPr>
              <w:pStyle w:val="Heading5"/>
            </w:pPr>
            <w:r>
              <w:t>Student Loan Garnishments</w:t>
            </w:r>
          </w:p>
        </w:tc>
        <w:tc>
          <w:tcPr>
            <w:tcW w:w="8550" w:type="dxa"/>
          </w:tcPr>
          <w:p w14:paraId="54BEE4C8" w14:textId="77777777" w:rsidR="00003CAF" w:rsidRPr="00F177F7" w:rsidRDefault="00003CAF" w:rsidP="007C4BF3">
            <w:pPr>
              <w:pStyle w:val="BlockText"/>
              <w:rPr>
                <w:sz w:val="22"/>
                <w:szCs w:val="22"/>
              </w:rPr>
            </w:pPr>
            <w:r w:rsidRPr="00F177F7">
              <w:rPr>
                <w:sz w:val="22"/>
                <w:szCs w:val="22"/>
              </w:rPr>
              <w:t>The deferment of student loans managed by the federal government has been extended again.</w:t>
            </w:r>
          </w:p>
          <w:p w14:paraId="3A5BAB37" w14:textId="77777777" w:rsidR="00003CAF" w:rsidRPr="00F177F7" w:rsidRDefault="00003CAF" w:rsidP="007C4BF3">
            <w:pPr>
              <w:pStyle w:val="BlockText"/>
              <w:rPr>
                <w:sz w:val="22"/>
                <w:szCs w:val="22"/>
              </w:rPr>
            </w:pPr>
          </w:p>
          <w:p w14:paraId="69C43FA9" w14:textId="77777777" w:rsidR="00003CAF" w:rsidRPr="00F177F7" w:rsidRDefault="00003CAF" w:rsidP="007C4BF3">
            <w:pPr>
              <w:pStyle w:val="BlockText"/>
              <w:rPr>
                <w:sz w:val="22"/>
                <w:szCs w:val="22"/>
              </w:rPr>
            </w:pPr>
            <w:r w:rsidRPr="00F177F7">
              <w:rPr>
                <w:sz w:val="22"/>
                <w:szCs w:val="22"/>
              </w:rPr>
              <w:t xml:space="preserve">“Payments will resume 60 days after the Department is permitted to implement the program or the litigation is resolved, which will give the Supreme Court an opportunity to resolve the case during its current Term. If the program has not been implemented and the litigation has not been resolved by June 30, 2023 – payments will resume 60 days after that.”  </w:t>
            </w:r>
          </w:p>
          <w:p w14:paraId="28CB18B4" w14:textId="77777777" w:rsidR="00003CAF" w:rsidRPr="00F177F7" w:rsidRDefault="00003CAF" w:rsidP="007C4BF3">
            <w:pPr>
              <w:pStyle w:val="BlockText"/>
              <w:rPr>
                <w:sz w:val="22"/>
                <w:szCs w:val="22"/>
              </w:rPr>
            </w:pPr>
          </w:p>
          <w:p w14:paraId="127F70DC" w14:textId="77777777" w:rsidR="00003CAF" w:rsidRPr="00F177F7" w:rsidRDefault="00003CAF" w:rsidP="007C4BF3">
            <w:pPr>
              <w:pStyle w:val="BlockText"/>
              <w:rPr>
                <w:sz w:val="22"/>
                <w:szCs w:val="22"/>
              </w:rPr>
            </w:pPr>
            <w:r w:rsidRPr="00F177F7">
              <w:rPr>
                <w:sz w:val="22"/>
                <w:szCs w:val="22"/>
              </w:rPr>
              <w:t xml:space="preserve">Employers should receive notices advising them when to begin withholding again.  </w:t>
            </w:r>
          </w:p>
          <w:p w14:paraId="3E1955A1" w14:textId="77777777" w:rsidR="00003CAF" w:rsidRPr="00F177F7" w:rsidRDefault="00003CAF" w:rsidP="007C4BF3">
            <w:pPr>
              <w:pStyle w:val="BlockText"/>
              <w:rPr>
                <w:sz w:val="22"/>
                <w:szCs w:val="22"/>
              </w:rPr>
            </w:pPr>
          </w:p>
          <w:p w14:paraId="6CF6D3AF" w14:textId="77777777" w:rsidR="00003CAF" w:rsidRPr="00F177F7" w:rsidRDefault="005A1168" w:rsidP="007C4BF3">
            <w:pPr>
              <w:pStyle w:val="BlockText"/>
              <w:rPr>
                <w:sz w:val="22"/>
                <w:szCs w:val="22"/>
              </w:rPr>
            </w:pPr>
            <w:hyperlink r:id="rId15" w:history="1">
              <w:r w:rsidR="00003CAF" w:rsidRPr="00F177F7">
                <w:rPr>
                  <w:color w:val="0000FF"/>
                  <w:sz w:val="22"/>
                  <w:szCs w:val="22"/>
                  <w:u w:val="single"/>
                </w:rPr>
                <w:t>Biden-Harris Administration Continues Fight for Student Debt Relief for Millions of Borrowers, Extends Student Loan Repayment Pause | U.S. Department of Education</w:t>
              </w:r>
            </w:hyperlink>
          </w:p>
        </w:tc>
      </w:tr>
    </w:tbl>
    <w:p w14:paraId="6E47BA88" w14:textId="62CE72B6" w:rsidR="00F870FB" w:rsidRDefault="00F870FB" w:rsidP="00F870FB">
      <w:pPr>
        <w:pStyle w:val="BlockLine"/>
        <w:ind w:left="1350"/>
        <w:jc w:val="right"/>
        <w:rPr>
          <w:i/>
          <w:sz w:val="20"/>
        </w:rPr>
      </w:pPr>
      <w:proofErr w:type="gramStart"/>
      <w:r>
        <w:rPr>
          <w:i/>
          <w:sz w:val="20"/>
        </w:rPr>
        <w:t>Continued on</w:t>
      </w:r>
      <w:proofErr w:type="gramEnd"/>
      <w:r>
        <w:rPr>
          <w:i/>
          <w:sz w:val="20"/>
        </w:rPr>
        <w:t xml:space="preserve"> next page</w:t>
      </w:r>
    </w:p>
    <w:p w14:paraId="50CBD855" w14:textId="77777777"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t xml:space="preserve">Payroll Deductions, </w:t>
      </w:r>
      <w:r w:rsidRPr="00602BF2">
        <w:rPr>
          <w:rFonts w:ascii="Times New Roman" w:hAnsi="Times New Roman"/>
          <w:b w:val="0"/>
          <w:bCs/>
          <w:sz w:val="24"/>
          <w:szCs w:val="24"/>
        </w:rPr>
        <w:t>continued</w:t>
      </w:r>
    </w:p>
    <w:p w14:paraId="3737287E" w14:textId="77777777"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14:paraId="1649D1D3" w14:textId="77777777">
        <w:trPr>
          <w:cantSplit/>
        </w:trPr>
        <w:tc>
          <w:tcPr>
            <w:tcW w:w="1728" w:type="dxa"/>
          </w:tcPr>
          <w:p w14:paraId="6C9D9D29" w14:textId="1012FB95" w:rsidR="00ED1D0A" w:rsidRPr="00D560BD" w:rsidRDefault="00ED1D0A" w:rsidP="0042401C">
            <w:pPr>
              <w:pStyle w:val="Heading5"/>
              <w:rPr>
                <w:szCs w:val="22"/>
              </w:rPr>
            </w:pPr>
            <w:r w:rsidRPr="00D560BD">
              <w:rPr>
                <w:szCs w:val="22"/>
              </w:rPr>
              <w:t xml:space="preserve">Qualified </w:t>
            </w:r>
            <w:r w:rsidR="006E2BC4" w:rsidRPr="00D560BD">
              <w:rPr>
                <w:szCs w:val="22"/>
              </w:rPr>
              <w:t xml:space="preserve">Defined Contribution </w:t>
            </w:r>
            <w:r w:rsidRPr="00D560BD">
              <w:rPr>
                <w:szCs w:val="22"/>
              </w:rPr>
              <w:t>Benefit Plans</w:t>
            </w:r>
          </w:p>
        </w:tc>
        <w:tc>
          <w:tcPr>
            <w:tcW w:w="8640" w:type="dxa"/>
          </w:tcPr>
          <w:p w14:paraId="75A32D58" w14:textId="02226541" w:rsidR="00ED1D0A" w:rsidRPr="00D560BD" w:rsidRDefault="00BB026E" w:rsidP="00DE3D53">
            <w:pPr>
              <w:pStyle w:val="Extmemo"/>
              <w:rPr>
                <w:rFonts w:ascii="Times New Roman" w:hAnsi="Times New Roman"/>
                <w:sz w:val="22"/>
                <w:szCs w:val="22"/>
              </w:rPr>
            </w:pPr>
            <w:r w:rsidRPr="00D560BD">
              <w:rPr>
                <w:rFonts w:ascii="Times New Roman" w:hAnsi="Times New Roman"/>
                <w:sz w:val="22"/>
                <w:szCs w:val="22"/>
              </w:rPr>
              <w:t>Employees of the Commonwealth who are employed by a college or university may use both the 457 Deferred Compensation</w:t>
            </w:r>
            <w:r w:rsidR="005C42A7" w:rsidRPr="00D560BD">
              <w:rPr>
                <w:rFonts w:ascii="Times New Roman" w:hAnsi="Times New Roman"/>
                <w:sz w:val="22"/>
                <w:szCs w:val="22"/>
              </w:rPr>
              <w:t>/Roth</w:t>
            </w:r>
            <w:r w:rsidRPr="00D560BD">
              <w:rPr>
                <w:rFonts w:ascii="Times New Roman" w:hAnsi="Times New Roman"/>
                <w:sz w:val="22"/>
                <w:szCs w:val="22"/>
              </w:rPr>
              <w:t xml:space="preserve"> Plan and a 403(b) Tax Deferred</w:t>
            </w:r>
            <w:r w:rsidR="005C42A7" w:rsidRPr="00D560BD">
              <w:rPr>
                <w:rFonts w:ascii="Times New Roman" w:hAnsi="Times New Roman"/>
                <w:sz w:val="22"/>
                <w:szCs w:val="22"/>
              </w:rPr>
              <w:t>/Roth</w:t>
            </w:r>
            <w:r w:rsidRPr="00D560BD">
              <w:rPr>
                <w:rFonts w:ascii="Times New Roman" w:hAnsi="Times New Roman"/>
                <w:sz w:val="22"/>
                <w:szCs w:val="22"/>
              </w:rPr>
              <w:t xml:space="preserve"> Account.  </w:t>
            </w:r>
            <w:r w:rsidR="00ED1D0A" w:rsidRPr="00D560BD">
              <w:rPr>
                <w:rFonts w:ascii="Times New Roman" w:hAnsi="Times New Roman"/>
                <w:sz w:val="22"/>
                <w:szCs w:val="22"/>
              </w:rPr>
              <w:t>The maximum limits on 457</w:t>
            </w:r>
            <w:r w:rsidR="003C03DE" w:rsidRPr="00D560BD">
              <w:rPr>
                <w:rFonts w:ascii="Times New Roman" w:hAnsi="Times New Roman"/>
                <w:sz w:val="22"/>
                <w:szCs w:val="22"/>
              </w:rPr>
              <w:t xml:space="preserve"> and</w:t>
            </w:r>
            <w:r w:rsidR="00ED1D0A" w:rsidRPr="00D560BD">
              <w:rPr>
                <w:rFonts w:ascii="Times New Roman" w:hAnsi="Times New Roman"/>
                <w:sz w:val="22"/>
                <w:szCs w:val="22"/>
              </w:rPr>
              <w:t xml:space="preserve"> </w:t>
            </w:r>
            <w:r w:rsidR="003C03DE" w:rsidRPr="00D560BD">
              <w:rPr>
                <w:rFonts w:ascii="Times New Roman" w:hAnsi="Times New Roman"/>
                <w:sz w:val="22"/>
                <w:szCs w:val="22"/>
              </w:rPr>
              <w:t>403(b)</w:t>
            </w:r>
            <w:r w:rsidR="00145AFA" w:rsidRPr="00D560BD">
              <w:rPr>
                <w:rFonts w:ascii="Times New Roman" w:hAnsi="Times New Roman"/>
                <w:sz w:val="22"/>
                <w:szCs w:val="22"/>
              </w:rPr>
              <w:t xml:space="preserve"> </w:t>
            </w:r>
            <w:r w:rsidR="00ED1D0A" w:rsidRPr="00D560BD">
              <w:rPr>
                <w:rFonts w:ascii="Times New Roman" w:hAnsi="Times New Roman"/>
                <w:sz w:val="22"/>
                <w:szCs w:val="22"/>
              </w:rPr>
              <w:t xml:space="preserve">plan elective deferrals </w:t>
            </w:r>
            <w:r w:rsidR="00FA251B" w:rsidRPr="00D560BD">
              <w:rPr>
                <w:rFonts w:ascii="Times New Roman" w:hAnsi="Times New Roman"/>
                <w:sz w:val="22"/>
                <w:szCs w:val="22"/>
              </w:rPr>
              <w:t>have been increased</w:t>
            </w:r>
            <w:r w:rsidR="0019039C" w:rsidRPr="00D560BD">
              <w:rPr>
                <w:rFonts w:ascii="Times New Roman" w:hAnsi="Times New Roman"/>
                <w:sz w:val="22"/>
                <w:szCs w:val="22"/>
              </w:rPr>
              <w:t xml:space="preserve"> </w:t>
            </w:r>
            <w:r w:rsidR="00FA251B" w:rsidRPr="00D560BD">
              <w:rPr>
                <w:rFonts w:ascii="Times New Roman" w:hAnsi="Times New Roman"/>
                <w:sz w:val="22"/>
                <w:szCs w:val="22"/>
              </w:rPr>
              <w:t>by $</w:t>
            </w:r>
            <w:r w:rsidR="00E6131F" w:rsidRPr="00D560BD">
              <w:rPr>
                <w:rFonts w:ascii="Times New Roman" w:hAnsi="Times New Roman"/>
                <w:sz w:val="22"/>
                <w:szCs w:val="22"/>
              </w:rPr>
              <w:t>2</w:t>
            </w:r>
            <w:r w:rsidR="00FA251B" w:rsidRPr="00D560BD">
              <w:rPr>
                <w:rFonts w:ascii="Times New Roman" w:hAnsi="Times New Roman"/>
                <w:sz w:val="22"/>
                <w:szCs w:val="22"/>
              </w:rPr>
              <w:t xml:space="preserve">,000 </w:t>
            </w:r>
            <w:r w:rsidR="006849FF" w:rsidRPr="00D560BD">
              <w:rPr>
                <w:rFonts w:ascii="Times New Roman" w:hAnsi="Times New Roman"/>
                <w:sz w:val="22"/>
                <w:szCs w:val="22"/>
              </w:rPr>
              <w:t xml:space="preserve">for </w:t>
            </w:r>
            <w:r w:rsidR="00ED1D0A" w:rsidRPr="00D560BD">
              <w:rPr>
                <w:rFonts w:ascii="Times New Roman" w:hAnsi="Times New Roman"/>
                <w:sz w:val="22"/>
                <w:szCs w:val="22"/>
              </w:rPr>
              <w:t xml:space="preserve">calendar year </w:t>
            </w:r>
            <w:r w:rsidR="008D1D03" w:rsidRPr="00D560BD">
              <w:rPr>
                <w:rFonts w:ascii="Times New Roman" w:hAnsi="Times New Roman"/>
                <w:sz w:val="22"/>
                <w:szCs w:val="22"/>
              </w:rPr>
              <w:t>2023</w:t>
            </w:r>
            <w:r w:rsidR="00467C81" w:rsidRPr="00D560BD">
              <w:rPr>
                <w:rFonts w:ascii="Times New Roman" w:hAnsi="Times New Roman"/>
                <w:sz w:val="22"/>
                <w:szCs w:val="22"/>
              </w:rPr>
              <w:t>:</w:t>
            </w:r>
          </w:p>
          <w:p w14:paraId="100F8820" w14:textId="77777777" w:rsidR="00D10FB4" w:rsidRPr="00D560BD" w:rsidRDefault="00D10FB4" w:rsidP="00DE3D53">
            <w:pPr>
              <w:pStyle w:val="Extmemo"/>
              <w:rPr>
                <w:rFonts w:ascii="Times New Roman" w:hAnsi="Times New Roman"/>
                <w:sz w:val="22"/>
                <w:szCs w:val="22"/>
              </w:rPr>
            </w:pPr>
          </w:p>
          <w:p w14:paraId="3EE5F08B" w14:textId="77777777" w:rsidR="00D10FB4" w:rsidRPr="00D560BD" w:rsidRDefault="00D10FB4" w:rsidP="00FA251B">
            <w:pPr>
              <w:pStyle w:val="Extmemo"/>
              <w:rPr>
                <w:rFonts w:ascii="Times New Roman" w:hAnsi="Times New Roman"/>
                <w:sz w:val="22"/>
                <w:szCs w:val="22"/>
              </w:rPr>
            </w:pPr>
            <w:r w:rsidRPr="00D560BD">
              <w:rPr>
                <w:rFonts w:ascii="Times New Roman" w:hAnsi="Times New Roman"/>
                <w:sz w:val="22"/>
                <w:szCs w:val="22"/>
              </w:rPr>
              <w:t xml:space="preserve">Goals for the 457 Deferred Compensation Plan </w:t>
            </w:r>
            <w:r w:rsidR="005C42A7" w:rsidRPr="00D560BD">
              <w:rPr>
                <w:rFonts w:ascii="Times New Roman" w:hAnsi="Times New Roman"/>
                <w:sz w:val="22"/>
                <w:szCs w:val="22"/>
              </w:rPr>
              <w:t xml:space="preserve">are </w:t>
            </w:r>
            <w:r w:rsidRPr="00D560BD">
              <w:rPr>
                <w:rFonts w:ascii="Times New Roman" w:hAnsi="Times New Roman"/>
                <w:sz w:val="22"/>
                <w:szCs w:val="22"/>
              </w:rPr>
              <w:t>no</w:t>
            </w:r>
            <w:r w:rsidR="00FA251B" w:rsidRPr="00D560BD">
              <w:rPr>
                <w:rFonts w:ascii="Times New Roman" w:hAnsi="Times New Roman"/>
                <w:sz w:val="22"/>
                <w:szCs w:val="22"/>
              </w:rPr>
              <w:t>t</w:t>
            </w:r>
            <w:r w:rsidRPr="00D560BD">
              <w:rPr>
                <w:rFonts w:ascii="Times New Roman" w:hAnsi="Times New Roman"/>
                <w:sz w:val="22"/>
                <w:szCs w:val="22"/>
              </w:rPr>
              <w:t xml:space="preserve"> established per individual deduction in employee records sinc</w:t>
            </w:r>
            <w:r w:rsidR="00961F8E" w:rsidRPr="00D560BD">
              <w:rPr>
                <w:rFonts w:ascii="Times New Roman" w:hAnsi="Times New Roman"/>
                <w:sz w:val="22"/>
                <w:szCs w:val="22"/>
              </w:rPr>
              <w:t>e those who participate in the H</w:t>
            </w:r>
            <w:r w:rsidRPr="00D560BD">
              <w:rPr>
                <w:rFonts w:ascii="Times New Roman" w:hAnsi="Times New Roman"/>
                <w:sz w:val="22"/>
                <w:szCs w:val="22"/>
              </w:rPr>
              <w:t xml:space="preserve">ybrid plan may also have an additional voluntary deduction </w:t>
            </w:r>
            <w:r w:rsidR="0027675A" w:rsidRPr="00D560BD">
              <w:rPr>
                <w:rFonts w:ascii="Times New Roman" w:hAnsi="Times New Roman"/>
                <w:sz w:val="22"/>
                <w:szCs w:val="22"/>
              </w:rPr>
              <w:t>that is considered part of the 457 Plan</w:t>
            </w:r>
            <w:r w:rsidR="000F5062" w:rsidRPr="00D560BD">
              <w:rPr>
                <w:rFonts w:ascii="Times New Roman" w:hAnsi="Times New Roman"/>
                <w:sz w:val="22"/>
                <w:szCs w:val="22"/>
              </w:rPr>
              <w:t xml:space="preserve"> (</w:t>
            </w:r>
            <w:r w:rsidR="0027675A" w:rsidRPr="00D560BD">
              <w:rPr>
                <w:rFonts w:ascii="Times New Roman" w:hAnsi="Times New Roman"/>
                <w:sz w:val="22"/>
                <w:szCs w:val="22"/>
              </w:rPr>
              <w:t xml:space="preserve">deduction 016).  The Employee Voluntary Hybrid Contribution </w:t>
            </w:r>
            <w:r w:rsidR="006849FF" w:rsidRPr="00D560BD">
              <w:rPr>
                <w:rFonts w:ascii="Times New Roman" w:hAnsi="Times New Roman"/>
                <w:sz w:val="22"/>
                <w:szCs w:val="22"/>
              </w:rPr>
              <w:t>is</w:t>
            </w:r>
            <w:r w:rsidR="0027675A" w:rsidRPr="00D560BD">
              <w:rPr>
                <w:rFonts w:ascii="Times New Roman" w:hAnsi="Times New Roman"/>
                <w:sz w:val="22"/>
                <w:szCs w:val="22"/>
              </w:rPr>
              <w:t xml:space="preserve"> linked with the existing 457 Deferred Comp contribution (deduction 038) </w:t>
            </w:r>
            <w:r w:rsidR="00E476D3" w:rsidRPr="00D560BD">
              <w:rPr>
                <w:rFonts w:ascii="Times New Roman" w:hAnsi="Times New Roman"/>
                <w:sz w:val="22"/>
                <w:szCs w:val="22"/>
              </w:rPr>
              <w:t xml:space="preserve">and 457 Roth contribution (deduction 052) </w:t>
            </w:r>
            <w:r w:rsidR="0027675A" w:rsidRPr="00D560BD">
              <w:rPr>
                <w:rFonts w:ascii="Times New Roman" w:hAnsi="Times New Roman"/>
                <w:sz w:val="22"/>
                <w:szCs w:val="22"/>
              </w:rPr>
              <w:t xml:space="preserve">to ensure that the combined total does not exceed the annual </w:t>
            </w:r>
            <w:proofErr w:type="gramStart"/>
            <w:r w:rsidR="0027675A" w:rsidRPr="00D560BD">
              <w:rPr>
                <w:rFonts w:ascii="Times New Roman" w:hAnsi="Times New Roman"/>
                <w:sz w:val="22"/>
                <w:szCs w:val="22"/>
              </w:rPr>
              <w:t>maximum.</w:t>
            </w:r>
            <w:r w:rsidR="005C2E08" w:rsidRPr="00D560BD">
              <w:rPr>
                <w:rFonts w:ascii="Times New Roman" w:hAnsi="Times New Roman"/>
                <w:sz w:val="22"/>
                <w:szCs w:val="22"/>
              </w:rPr>
              <w:t>*</w:t>
            </w:r>
            <w:proofErr w:type="gramEnd"/>
            <w:r w:rsidR="0027675A" w:rsidRPr="00D560BD">
              <w:rPr>
                <w:rFonts w:ascii="Times New Roman" w:hAnsi="Times New Roman"/>
                <w:sz w:val="22"/>
                <w:szCs w:val="22"/>
              </w:rPr>
              <w:t xml:space="preserve"> </w:t>
            </w:r>
          </w:p>
        </w:tc>
      </w:tr>
    </w:tbl>
    <w:p w14:paraId="29035083" w14:textId="77777777"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14:paraId="78C72D1D"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7F3488A7" w14:textId="77777777"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14:paraId="1D6B716C" w14:textId="77777777"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14:paraId="3DEAEE5D" w14:textId="77777777" w:rsidR="00BB026E" w:rsidRPr="00557E5D" w:rsidRDefault="00BB026E" w:rsidP="007202FB">
            <w:pPr>
              <w:rPr>
                <w:b/>
                <w:bCs/>
                <w:szCs w:val="24"/>
              </w:rPr>
            </w:pPr>
            <w:r w:rsidRPr="00557E5D">
              <w:rPr>
                <w:b/>
                <w:bCs/>
                <w:szCs w:val="24"/>
              </w:rPr>
              <w:t>403(b) Tax-Deferred Account</w:t>
            </w:r>
          </w:p>
        </w:tc>
      </w:tr>
      <w:tr w:rsidR="00BB026E" w:rsidRPr="00D560BD" w14:paraId="32AF3E39" w14:textId="77777777" w:rsidTr="0063606D">
        <w:trPr>
          <w:cantSplit/>
          <w:trHeight w:val="390"/>
        </w:trPr>
        <w:tc>
          <w:tcPr>
            <w:tcW w:w="2689" w:type="dxa"/>
            <w:tcBorders>
              <w:top w:val="single" w:sz="6" w:space="0" w:color="auto"/>
              <w:left w:val="single" w:sz="6" w:space="0" w:color="auto"/>
              <w:bottom w:val="single" w:sz="6" w:space="0" w:color="auto"/>
              <w:right w:val="single" w:sz="6" w:space="0" w:color="auto"/>
            </w:tcBorders>
          </w:tcPr>
          <w:p w14:paraId="0C1AAEBE" w14:textId="77777777" w:rsidR="00BB026E" w:rsidRPr="00D560BD" w:rsidRDefault="00BB026E" w:rsidP="007202FB">
            <w:pPr>
              <w:rPr>
                <w:sz w:val="22"/>
                <w:szCs w:val="22"/>
              </w:rPr>
            </w:pPr>
            <w:r w:rsidRPr="00D560BD">
              <w:rPr>
                <w:sz w:val="22"/>
                <w:szCs w:val="22"/>
              </w:rPr>
              <w:t>Normal Annual Limit</w:t>
            </w:r>
          </w:p>
        </w:tc>
        <w:tc>
          <w:tcPr>
            <w:tcW w:w="2700" w:type="dxa"/>
            <w:tcBorders>
              <w:top w:val="single" w:sz="6" w:space="0" w:color="auto"/>
              <w:left w:val="single" w:sz="6" w:space="0" w:color="auto"/>
              <w:bottom w:val="single" w:sz="6" w:space="0" w:color="auto"/>
              <w:right w:val="single" w:sz="6" w:space="0" w:color="auto"/>
            </w:tcBorders>
          </w:tcPr>
          <w:p w14:paraId="76AE7694" w14:textId="34BD7074" w:rsidR="00BB026E" w:rsidRPr="00D560BD" w:rsidRDefault="00BB026E" w:rsidP="00FA251B">
            <w:pPr>
              <w:rPr>
                <w:sz w:val="22"/>
                <w:szCs w:val="22"/>
              </w:rPr>
            </w:pPr>
            <w:r w:rsidRPr="00D560BD">
              <w:rPr>
                <w:sz w:val="22"/>
                <w:szCs w:val="22"/>
              </w:rPr>
              <w:t>$</w:t>
            </w:r>
            <w:r w:rsidR="00FA251B" w:rsidRPr="00D560BD">
              <w:rPr>
                <w:sz w:val="22"/>
                <w:szCs w:val="22"/>
              </w:rPr>
              <w:t>2</w:t>
            </w:r>
            <w:r w:rsidR="00E6131F" w:rsidRPr="00D560BD">
              <w:rPr>
                <w:sz w:val="22"/>
                <w:szCs w:val="22"/>
              </w:rPr>
              <w:t>2</w:t>
            </w:r>
            <w:r w:rsidRPr="00D560BD">
              <w:rPr>
                <w:sz w:val="22"/>
                <w:szCs w:val="22"/>
              </w:rPr>
              <w:t>,</w:t>
            </w:r>
            <w:r w:rsidR="004712DD" w:rsidRPr="00D560BD">
              <w:rPr>
                <w:sz w:val="22"/>
                <w:szCs w:val="22"/>
              </w:rPr>
              <w:t>5</w:t>
            </w:r>
            <w:r w:rsidRPr="00D560BD">
              <w:rPr>
                <w:sz w:val="22"/>
                <w:szCs w:val="22"/>
              </w:rPr>
              <w:t>00 (1)(5)</w:t>
            </w:r>
          </w:p>
        </w:tc>
        <w:tc>
          <w:tcPr>
            <w:tcW w:w="3150" w:type="dxa"/>
            <w:tcBorders>
              <w:top w:val="single" w:sz="6" w:space="0" w:color="auto"/>
              <w:left w:val="single" w:sz="6" w:space="0" w:color="auto"/>
              <w:bottom w:val="single" w:sz="6" w:space="0" w:color="auto"/>
              <w:right w:val="single" w:sz="6" w:space="0" w:color="auto"/>
            </w:tcBorders>
          </w:tcPr>
          <w:p w14:paraId="1E07F784" w14:textId="41C10157" w:rsidR="00BB026E" w:rsidRPr="00D560BD" w:rsidRDefault="00BB026E" w:rsidP="00FA251B">
            <w:pPr>
              <w:rPr>
                <w:sz w:val="22"/>
                <w:szCs w:val="22"/>
              </w:rPr>
            </w:pPr>
            <w:r w:rsidRPr="00D560BD">
              <w:rPr>
                <w:sz w:val="22"/>
                <w:szCs w:val="22"/>
              </w:rPr>
              <w:t>$</w:t>
            </w:r>
            <w:r w:rsidR="00FA251B" w:rsidRPr="00D560BD">
              <w:rPr>
                <w:sz w:val="22"/>
                <w:szCs w:val="22"/>
              </w:rPr>
              <w:t>2</w:t>
            </w:r>
            <w:r w:rsidR="00D847C4" w:rsidRPr="00D560BD">
              <w:rPr>
                <w:sz w:val="22"/>
                <w:szCs w:val="22"/>
              </w:rPr>
              <w:t>2</w:t>
            </w:r>
            <w:r w:rsidRPr="00D560BD">
              <w:rPr>
                <w:sz w:val="22"/>
                <w:szCs w:val="22"/>
              </w:rPr>
              <w:t>,</w:t>
            </w:r>
            <w:r w:rsidR="004712DD" w:rsidRPr="00D560BD">
              <w:rPr>
                <w:sz w:val="22"/>
                <w:szCs w:val="22"/>
              </w:rPr>
              <w:t>5</w:t>
            </w:r>
            <w:r w:rsidR="0063606D" w:rsidRPr="00D560BD">
              <w:rPr>
                <w:sz w:val="22"/>
                <w:szCs w:val="22"/>
              </w:rPr>
              <w:t>00 (1)(5)</w:t>
            </w:r>
          </w:p>
        </w:tc>
      </w:tr>
      <w:tr w:rsidR="00BB026E" w:rsidRPr="00D560BD" w14:paraId="065D7EE2"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07F2DE30" w14:textId="77777777" w:rsidR="00BB026E" w:rsidRPr="00D560BD" w:rsidRDefault="00BB026E" w:rsidP="007202FB">
            <w:pPr>
              <w:rPr>
                <w:sz w:val="22"/>
                <w:szCs w:val="22"/>
              </w:rPr>
            </w:pPr>
            <w:r w:rsidRPr="00D560BD">
              <w:rPr>
                <w:sz w:val="22"/>
                <w:szCs w:val="22"/>
              </w:rPr>
              <w:t>Age 50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0B4283E0" w14:textId="42633BA3" w:rsidR="00BB026E" w:rsidRPr="00D560BD" w:rsidRDefault="00BB026E" w:rsidP="007202FB">
            <w:pPr>
              <w:rPr>
                <w:sz w:val="22"/>
                <w:szCs w:val="22"/>
              </w:rPr>
            </w:pPr>
            <w:r w:rsidRPr="00D560BD">
              <w:rPr>
                <w:sz w:val="22"/>
                <w:szCs w:val="22"/>
              </w:rPr>
              <w:t>$</w:t>
            </w:r>
            <w:r w:rsidR="00E6131F" w:rsidRPr="00D560BD">
              <w:rPr>
                <w:sz w:val="22"/>
                <w:szCs w:val="22"/>
              </w:rPr>
              <w:t>7</w:t>
            </w:r>
            <w:r w:rsidRPr="00D560BD">
              <w:rPr>
                <w:sz w:val="22"/>
                <w:szCs w:val="22"/>
              </w:rPr>
              <w:t>,</w:t>
            </w:r>
            <w:r w:rsidR="0063606D" w:rsidRPr="00D560BD">
              <w:rPr>
                <w:sz w:val="22"/>
                <w:szCs w:val="22"/>
              </w:rPr>
              <w:t>5</w:t>
            </w:r>
            <w:r w:rsidRPr="00D560BD">
              <w:rPr>
                <w:sz w:val="22"/>
                <w:szCs w:val="22"/>
              </w:rPr>
              <w:t>00 (2)</w:t>
            </w:r>
          </w:p>
        </w:tc>
        <w:tc>
          <w:tcPr>
            <w:tcW w:w="3150" w:type="dxa"/>
            <w:tcBorders>
              <w:top w:val="single" w:sz="6" w:space="0" w:color="auto"/>
              <w:left w:val="single" w:sz="6" w:space="0" w:color="auto"/>
              <w:bottom w:val="single" w:sz="6" w:space="0" w:color="auto"/>
              <w:right w:val="single" w:sz="6" w:space="0" w:color="auto"/>
            </w:tcBorders>
          </w:tcPr>
          <w:p w14:paraId="11C9D0D7" w14:textId="67B307B9" w:rsidR="00BB026E" w:rsidRPr="00D560BD" w:rsidRDefault="00BB026E" w:rsidP="007202FB">
            <w:pPr>
              <w:rPr>
                <w:sz w:val="22"/>
                <w:szCs w:val="22"/>
              </w:rPr>
            </w:pPr>
            <w:r w:rsidRPr="00D560BD">
              <w:rPr>
                <w:sz w:val="22"/>
                <w:szCs w:val="22"/>
              </w:rPr>
              <w:t>$</w:t>
            </w:r>
            <w:r w:rsidR="00E6131F" w:rsidRPr="00D560BD">
              <w:rPr>
                <w:sz w:val="22"/>
                <w:szCs w:val="22"/>
              </w:rPr>
              <w:t>7</w:t>
            </w:r>
            <w:r w:rsidRPr="00D560BD">
              <w:rPr>
                <w:sz w:val="22"/>
                <w:szCs w:val="22"/>
              </w:rPr>
              <w:t>,</w:t>
            </w:r>
            <w:r w:rsidR="0063606D" w:rsidRPr="00D560BD">
              <w:rPr>
                <w:sz w:val="22"/>
                <w:szCs w:val="22"/>
              </w:rPr>
              <w:t>5</w:t>
            </w:r>
            <w:r w:rsidRPr="00D560BD">
              <w:rPr>
                <w:sz w:val="22"/>
                <w:szCs w:val="22"/>
              </w:rPr>
              <w:t>00 (2)(5)</w:t>
            </w:r>
          </w:p>
        </w:tc>
      </w:tr>
      <w:tr w:rsidR="00BB026E" w:rsidRPr="00D560BD" w14:paraId="48242A94"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4BD94F1C" w14:textId="77777777" w:rsidR="00BB026E" w:rsidRPr="00D560BD" w:rsidRDefault="00BB026E" w:rsidP="007202FB">
            <w:pPr>
              <w:rPr>
                <w:sz w:val="22"/>
                <w:szCs w:val="22"/>
              </w:rPr>
            </w:pPr>
            <w:r w:rsidRPr="00D560BD">
              <w:rPr>
                <w:sz w:val="22"/>
                <w:szCs w:val="22"/>
              </w:rPr>
              <w:t>457 Standard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6ABCC90D" w14:textId="501CFB3D" w:rsidR="00BB026E" w:rsidRPr="00D560BD" w:rsidRDefault="00BB026E" w:rsidP="00FA251B">
            <w:pPr>
              <w:rPr>
                <w:sz w:val="22"/>
                <w:szCs w:val="22"/>
              </w:rPr>
            </w:pPr>
            <w:r w:rsidRPr="00D560BD">
              <w:rPr>
                <w:sz w:val="22"/>
                <w:szCs w:val="22"/>
              </w:rPr>
              <w:t>$</w:t>
            </w:r>
            <w:r w:rsidR="00FA251B" w:rsidRPr="00D560BD">
              <w:rPr>
                <w:sz w:val="22"/>
                <w:szCs w:val="22"/>
              </w:rPr>
              <w:t>2</w:t>
            </w:r>
            <w:r w:rsidR="00E6131F" w:rsidRPr="00D560BD">
              <w:rPr>
                <w:sz w:val="22"/>
                <w:szCs w:val="22"/>
              </w:rPr>
              <w:t>2</w:t>
            </w:r>
            <w:r w:rsidRPr="00D560BD">
              <w:rPr>
                <w:sz w:val="22"/>
                <w:szCs w:val="22"/>
              </w:rPr>
              <w:t>,</w:t>
            </w:r>
            <w:r w:rsidR="00FD205A" w:rsidRPr="00D560BD">
              <w:rPr>
                <w:sz w:val="22"/>
                <w:szCs w:val="22"/>
              </w:rPr>
              <w:t>5</w:t>
            </w:r>
            <w:r w:rsidRPr="00D560BD">
              <w:rPr>
                <w:sz w:val="22"/>
                <w:szCs w:val="22"/>
              </w:rPr>
              <w:t>00 (3)(5)</w:t>
            </w:r>
          </w:p>
        </w:tc>
        <w:tc>
          <w:tcPr>
            <w:tcW w:w="3150" w:type="dxa"/>
            <w:tcBorders>
              <w:top w:val="single" w:sz="6" w:space="0" w:color="auto"/>
              <w:left w:val="single" w:sz="6" w:space="0" w:color="auto"/>
              <w:bottom w:val="single" w:sz="6" w:space="0" w:color="auto"/>
              <w:right w:val="single" w:sz="6" w:space="0" w:color="auto"/>
            </w:tcBorders>
          </w:tcPr>
          <w:p w14:paraId="6779D66E" w14:textId="77777777" w:rsidR="00BB026E" w:rsidRPr="00D560BD" w:rsidRDefault="00BB026E" w:rsidP="007202FB">
            <w:pPr>
              <w:rPr>
                <w:sz w:val="22"/>
                <w:szCs w:val="22"/>
              </w:rPr>
            </w:pPr>
            <w:r w:rsidRPr="00D560BD">
              <w:rPr>
                <w:sz w:val="22"/>
                <w:szCs w:val="22"/>
              </w:rPr>
              <w:t>N/A</w:t>
            </w:r>
          </w:p>
        </w:tc>
      </w:tr>
      <w:tr w:rsidR="00BB026E" w:rsidRPr="00D560BD" w14:paraId="00DFB43D" w14:textId="77777777" w:rsidTr="006025E7">
        <w:trPr>
          <w:cantSplit/>
        </w:trPr>
        <w:tc>
          <w:tcPr>
            <w:tcW w:w="2689" w:type="dxa"/>
            <w:tcBorders>
              <w:top w:val="single" w:sz="6" w:space="0" w:color="auto"/>
              <w:left w:val="single" w:sz="6" w:space="0" w:color="auto"/>
              <w:bottom w:val="single" w:sz="6" w:space="0" w:color="auto"/>
              <w:right w:val="single" w:sz="6" w:space="0" w:color="auto"/>
            </w:tcBorders>
          </w:tcPr>
          <w:p w14:paraId="2E8249D5" w14:textId="77777777" w:rsidR="00BB026E" w:rsidRPr="00D560BD" w:rsidRDefault="00BB026E" w:rsidP="007202FB">
            <w:pPr>
              <w:rPr>
                <w:sz w:val="22"/>
                <w:szCs w:val="22"/>
              </w:rPr>
            </w:pPr>
            <w:r w:rsidRPr="00D560BD">
              <w:rPr>
                <w:sz w:val="22"/>
                <w:szCs w:val="22"/>
              </w:rPr>
              <w:t>403(b) 15-Year Catch-</w:t>
            </w:r>
            <w:r w:rsidR="006025E7" w:rsidRPr="00D560BD">
              <w:rPr>
                <w:sz w:val="22"/>
                <w:szCs w:val="22"/>
              </w:rPr>
              <w:t>U</w:t>
            </w:r>
            <w:r w:rsidRPr="00D560BD">
              <w:rPr>
                <w:sz w:val="22"/>
                <w:szCs w:val="22"/>
              </w:rPr>
              <w:t>p</w:t>
            </w:r>
          </w:p>
        </w:tc>
        <w:tc>
          <w:tcPr>
            <w:tcW w:w="2700" w:type="dxa"/>
            <w:tcBorders>
              <w:top w:val="single" w:sz="6" w:space="0" w:color="auto"/>
              <w:left w:val="single" w:sz="6" w:space="0" w:color="auto"/>
              <w:bottom w:val="single" w:sz="6" w:space="0" w:color="auto"/>
              <w:right w:val="single" w:sz="6" w:space="0" w:color="auto"/>
            </w:tcBorders>
          </w:tcPr>
          <w:p w14:paraId="57573097" w14:textId="77777777" w:rsidR="00BB026E" w:rsidRPr="00D560BD" w:rsidRDefault="00BB026E" w:rsidP="007202FB">
            <w:pPr>
              <w:rPr>
                <w:sz w:val="22"/>
                <w:szCs w:val="22"/>
              </w:rPr>
            </w:pPr>
            <w:r w:rsidRPr="00D560BD">
              <w:rPr>
                <w:sz w:val="22"/>
                <w:szCs w:val="22"/>
              </w:rPr>
              <w:t>N/A</w:t>
            </w:r>
          </w:p>
        </w:tc>
        <w:tc>
          <w:tcPr>
            <w:tcW w:w="3150" w:type="dxa"/>
            <w:tcBorders>
              <w:top w:val="single" w:sz="6" w:space="0" w:color="auto"/>
              <w:left w:val="single" w:sz="6" w:space="0" w:color="auto"/>
              <w:bottom w:val="single" w:sz="6" w:space="0" w:color="auto"/>
              <w:right w:val="single" w:sz="6" w:space="0" w:color="auto"/>
            </w:tcBorders>
          </w:tcPr>
          <w:p w14:paraId="46F0043F" w14:textId="77777777" w:rsidR="00BB026E" w:rsidRPr="00D560BD" w:rsidRDefault="00BB026E" w:rsidP="007202FB">
            <w:pPr>
              <w:rPr>
                <w:sz w:val="22"/>
                <w:szCs w:val="22"/>
              </w:rPr>
            </w:pPr>
            <w:r w:rsidRPr="00D560BD">
              <w:rPr>
                <w:sz w:val="22"/>
                <w:szCs w:val="22"/>
              </w:rPr>
              <w:t>$3,000 (4)(5)</w:t>
            </w:r>
          </w:p>
        </w:tc>
      </w:tr>
    </w:tbl>
    <w:p w14:paraId="2112495A" w14:textId="77777777" w:rsidR="00ED1D0A" w:rsidRPr="00D560BD" w:rsidRDefault="00ED1D0A" w:rsidP="00ED1D0A">
      <w:pPr>
        <w:rPr>
          <w:sz w:val="22"/>
          <w:szCs w:val="22"/>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D560BD" w14:paraId="4A5EA278" w14:textId="77777777" w:rsidTr="00EA051D">
        <w:trPr>
          <w:cantSplit/>
        </w:trPr>
        <w:tc>
          <w:tcPr>
            <w:tcW w:w="8539" w:type="dxa"/>
          </w:tcPr>
          <w:p w14:paraId="5594B638" w14:textId="77777777" w:rsidR="006948F6" w:rsidRPr="00D560BD" w:rsidRDefault="00BB026E" w:rsidP="0001462B">
            <w:pPr>
              <w:numPr>
                <w:ilvl w:val="0"/>
                <w:numId w:val="19"/>
              </w:numPr>
              <w:tabs>
                <w:tab w:val="clear" w:pos="750"/>
                <w:tab w:val="num" w:pos="540"/>
              </w:tabs>
              <w:ind w:left="90" w:firstLine="0"/>
              <w:rPr>
                <w:sz w:val="22"/>
                <w:szCs w:val="22"/>
              </w:rPr>
            </w:pPr>
            <w:r w:rsidRPr="00D560BD">
              <w:rPr>
                <w:sz w:val="22"/>
                <w:szCs w:val="22"/>
              </w:rPr>
              <w:t>Eligible participants may contribute the normal annual limit to both plans.</w:t>
            </w:r>
          </w:p>
          <w:p w14:paraId="451F7459" w14:textId="77777777" w:rsidR="0001462B" w:rsidRPr="00D560BD" w:rsidRDefault="00BB026E" w:rsidP="0001462B">
            <w:pPr>
              <w:numPr>
                <w:ilvl w:val="0"/>
                <w:numId w:val="19"/>
              </w:numPr>
              <w:tabs>
                <w:tab w:val="clear" w:pos="750"/>
                <w:tab w:val="num" w:pos="540"/>
              </w:tabs>
              <w:ind w:left="90" w:firstLine="0"/>
              <w:rPr>
                <w:sz w:val="22"/>
                <w:szCs w:val="22"/>
              </w:rPr>
            </w:pPr>
            <w:r w:rsidRPr="00D560BD">
              <w:rPr>
                <w:sz w:val="22"/>
                <w:szCs w:val="22"/>
              </w:rPr>
              <w:t xml:space="preserve">Eligible participants may contribute the Age 50 </w:t>
            </w:r>
            <w:r w:rsidR="00FC3EA7" w:rsidRPr="00D560BD">
              <w:rPr>
                <w:sz w:val="22"/>
                <w:szCs w:val="22"/>
              </w:rPr>
              <w:t>Catch-Up</w:t>
            </w:r>
            <w:r w:rsidRPr="00D560BD">
              <w:rPr>
                <w:sz w:val="22"/>
                <w:szCs w:val="22"/>
              </w:rPr>
              <w:t xml:space="preserve"> to both plans.</w:t>
            </w:r>
          </w:p>
          <w:p w14:paraId="62BF4F00" w14:textId="44FC7F9F" w:rsidR="0001462B" w:rsidRPr="00D560BD" w:rsidRDefault="00BB026E" w:rsidP="0001462B">
            <w:pPr>
              <w:numPr>
                <w:ilvl w:val="0"/>
                <w:numId w:val="19"/>
              </w:numPr>
              <w:tabs>
                <w:tab w:val="clear" w:pos="750"/>
                <w:tab w:val="num" w:pos="540"/>
              </w:tabs>
              <w:ind w:left="90" w:firstLine="0"/>
              <w:rPr>
                <w:sz w:val="22"/>
                <w:szCs w:val="22"/>
              </w:rPr>
            </w:pPr>
            <w:r w:rsidRPr="00D560BD">
              <w:rPr>
                <w:sz w:val="22"/>
                <w:szCs w:val="22"/>
              </w:rPr>
              <w:t xml:space="preserve">The 457 Standard </w:t>
            </w:r>
            <w:r w:rsidR="00FC3EA7" w:rsidRPr="00D560BD">
              <w:rPr>
                <w:sz w:val="22"/>
                <w:szCs w:val="22"/>
              </w:rPr>
              <w:t>Catch-Up</w:t>
            </w:r>
            <w:r w:rsidRPr="00D560BD">
              <w:rPr>
                <w:sz w:val="22"/>
                <w:szCs w:val="22"/>
              </w:rPr>
              <w:t xml:space="preserve"> may not be used in the same year that the 457 Age 50 </w:t>
            </w:r>
            <w:r w:rsidR="00FC3EA7" w:rsidRPr="00D560BD">
              <w:rPr>
                <w:sz w:val="22"/>
                <w:szCs w:val="22"/>
              </w:rPr>
              <w:t>Catch-Up</w:t>
            </w:r>
            <w:r w:rsidRPr="00D560BD">
              <w:rPr>
                <w:sz w:val="22"/>
                <w:szCs w:val="22"/>
              </w:rPr>
              <w:t xml:space="preserve"> is used.  The 457 Standard </w:t>
            </w:r>
            <w:r w:rsidR="00FC3EA7" w:rsidRPr="00D560BD">
              <w:rPr>
                <w:sz w:val="22"/>
                <w:szCs w:val="22"/>
              </w:rPr>
              <w:t>Catch-Up</w:t>
            </w:r>
            <w:r w:rsidRPr="00D560BD">
              <w:rPr>
                <w:sz w:val="22"/>
                <w:szCs w:val="22"/>
              </w:rPr>
              <w:t xml:space="preserve"> can only be used in the three years preceding “normal retirement age” as designated on the Normal Retirement Age Election Form.  The Standard </w:t>
            </w:r>
            <w:r w:rsidR="00FC3EA7" w:rsidRPr="00D560BD">
              <w:rPr>
                <w:sz w:val="22"/>
                <w:szCs w:val="22"/>
              </w:rPr>
              <w:t>Catch-Up</w:t>
            </w:r>
            <w:r w:rsidRPr="00D560BD">
              <w:rPr>
                <w:sz w:val="22"/>
                <w:szCs w:val="22"/>
              </w:rPr>
              <w:t xml:space="preserve"> plus the Normal Annual Limit results in a total possible deferral to the 457 Plan of </w:t>
            </w:r>
            <w:r w:rsidRPr="00D560BD">
              <w:rPr>
                <w:b/>
                <w:sz w:val="22"/>
                <w:szCs w:val="22"/>
              </w:rPr>
              <w:t>$</w:t>
            </w:r>
            <w:r w:rsidR="00955028" w:rsidRPr="00D560BD">
              <w:rPr>
                <w:b/>
                <w:sz w:val="22"/>
                <w:szCs w:val="22"/>
              </w:rPr>
              <w:t>4</w:t>
            </w:r>
            <w:r w:rsidR="00E6131F" w:rsidRPr="00D560BD">
              <w:rPr>
                <w:b/>
                <w:sz w:val="22"/>
                <w:szCs w:val="22"/>
              </w:rPr>
              <w:t>5</w:t>
            </w:r>
            <w:r w:rsidRPr="00D560BD">
              <w:rPr>
                <w:b/>
                <w:sz w:val="22"/>
                <w:szCs w:val="22"/>
              </w:rPr>
              <w:t xml:space="preserve">,000 for </w:t>
            </w:r>
            <w:r w:rsidR="008D1D03" w:rsidRPr="00D560BD">
              <w:rPr>
                <w:b/>
                <w:sz w:val="22"/>
                <w:szCs w:val="22"/>
              </w:rPr>
              <w:t>2023</w:t>
            </w:r>
            <w:r w:rsidRPr="00D560BD">
              <w:rPr>
                <w:sz w:val="22"/>
                <w:szCs w:val="22"/>
              </w:rPr>
              <w:t>.</w:t>
            </w:r>
          </w:p>
          <w:p w14:paraId="60469694" w14:textId="406672C1" w:rsidR="0001462B" w:rsidRPr="00D560BD" w:rsidRDefault="00BB026E" w:rsidP="00966DE0">
            <w:pPr>
              <w:numPr>
                <w:ilvl w:val="0"/>
                <w:numId w:val="19"/>
              </w:numPr>
              <w:tabs>
                <w:tab w:val="clear" w:pos="750"/>
                <w:tab w:val="num" w:pos="540"/>
              </w:tabs>
              <w:ind w:left="90" w:firstLine="0"/>
              <w:rPr>
                <w:sz w:val="22"/>
                <w:szCs w:val="22"/>
              </w:rPr>
            </w:pPr>
            <w:r w:rsidRPr="00D560BD">
              <w:rPr>
                <w:sz w:val="22"/>
                <w:szCs w:val="22"/>
              </w:rPr>
              <w:t xml:space="preserve">The 403(b) 15-Year </w:t>
            </w:r>
            <w:r w:rsidR="00FC3EA7" w:rsidRPr="00D560BD">
              <w:rPr>
                <w:sz w:val="22"/>
                <w:szCs w:val="22"/>
              </w:rPr>
              <w:t>Catch-Up</w:t>
            </w:r>
            <w:r w:rsidRPr="00D560BD">
              <w:rPr>
                <w:sz w:val="22"/>
                <w:szCs w:val="22"/>
              </w:rPr>
              <w:t xml:space="preserve">, the 403(b) age 50 </w:t>
            </w:r>
            <w:r w:rsidR="00FC3EA7" w:rsidRPr="00D560BD">
              <w:rPr>
                <w:sz w:val="22"/>
                <w:szCs w:val="22"/>
              </w:rPr>
              <w:t>Catch-Up</w:t>
            </w:r>
            <w:r w:rsidRPr="00D560BD">
              <w:rPr>
                <w:sz w:val="22"/>
                <w:szCs w:val="22"/>
              </w:rPr>
              <w:t xml:space="preserve"> and the 403(b) Normal Annual Limit can all be used in the same year for a total deferral of </w:t>
            </w:r>
            <w:r w:rsidR="00323785" w:rsidRPr="00D560BD">
              <w:rPr>
                <w:b/>
                <w:sz w:val="22"/>
                <w:szCs w:val="22"/>
              </w:rPr>
              <w:t>$</w:t>
            </w:r>
            <w:r w:rsidR="00955028" w:rsidRPr="00D560BD">
              <w:rPr>
                <w:b/>
                <w:sz w:val="22"/>
                <w:szCs w:val="22"/>
              </w:rPr>
              <w:t>3</w:t>
            </w:r>
            <w:r w:rsidR="00E6131F" w:rsidRPr="00D560BD">
              <w:rPr>
                <w:b/>
                <w:sz w:val="22"/>
                <w:szCs w:val="22"/>
              </w:rPr>
              <w:t>3</w:t>
            </w:r>
            <w:r w:rsidR="0046369B" w:rsidRPr="00D560BD">
              <w:rPr>
                <w:b/>
                <w:sz w:val="22"/>
                <w:szCs w:val="22"/>
              </w:rPr>
              <w:t>,</w:t>
            </w:r>
            <w:r w:rsidR="00877F06" w:rsidRPr="00D560BD">
              <w:rPr>
                <w:b/>
                <w:sz w:val="22"/>
                <w:szCs w:val="22"/>
              </w:rPr>
              <w:t>000</w:t>
            </w:r>
            <w:r w:rsidRPr="00D560BD">
              <w:rPr>
                <w:b/>
                <w:sz w:val="22"/>
                <w:szCs w:val="22"/>
              </w:rPr>
              <w:t xml:space="preserve"> in </w:t>
            </w:r>
            <w:r w:rsidR="008D1D03" w:rsidRPr="00D560BD">
              <w:rPr>
                <w:b/>
                <w:sz w:val="22"/>
                <w:szCs w:val="22"/>
              </w:rPr>
              <w:t>2023</w:t>
            </w:r>
            <w:r w:rsidRPr="00D560BD">
              <w:rPr>
                <w:sz w:val="22"/>
                <w:szCs w:val="22"/>
              </w:rPr>
              <w:t>.</w:t>
            </w:r>
            <w:r w:rsidR="00CC6696" w:rsidRPr="00D560BD">
              <w:rPr>
                <w:sz w:val="22"/>
                <w:szCs w:val="22"/>
              </w:rPr>
              <w:t xml:space="preserve">  (Note:  there is a lifetime limit of $15,000</w:t>
            </w:r>
            <w:r w:rsidR="00097EFC" w:rsidRPr="00D560BD">
              <w:rPr>
                <w:sz w:val="22"/>
                <w:szCs w:val="22"/>
              </w:rPr>
              <w:t xml:space="preserve"> on the 15-yr catch up</w:t>
            </w:r>
            <w:r w:rsidR="00CC6696" w:rsidRPr="00D560BD">
              <w:rPr>
                <w:sz w:val="22"/>
                <w:szCs w:val="22"/>
              </w:rPr>
              <w:t>.)</w:t>
            </w:r>
          </w:p>
          <w:p w14:paraId="0F0B94F8" w14:textId="6EBF4398" w:rsidR="00BB026E" w:rsidRPr="00D560BD" w:rsidRDefault="00BB026E" w:rsidP="00955028">
            <w:pPr>
              <w:numPr>
                <w:ilvl w:val="0"/>
                <w:numId w:val="19"/>
              </w:numPr>
              <w:tabs>
                <w:tab w:val="clear" w:pos="750"/>
                <w:tab w:val="num" w:pos="540"/>
              </w:tabs>
              <w:ind w:left="90" w:firstLine="0"/>
              <w:rPr>
                <w:sz w:val="22"/>
                <w:szCs w:val="22"/>
              </w:rPr>
            </w:pPr>
            <w:r w:rsidRPr="00D560BD">
              <w:rPr>
                <w:sz w:val="22"/>
                <w:szCs w:val="22"/>
              </w:rPr>
              <w:t xml:space="preserve">The 457 Standard </w:t>
            </w:r>
            <w:r w:rsidR="00FC3EA7" w:rsidRPr="00D560BD">
              <w:rPr>
                <w:sz w:val="22"/>
                <w:szCs w:val="22"/>
              </w:rPr>
              <w:t>Catch-Up</w:t>
            </w:r>
            <w:r w:rsidRPr="00D560BD">
              <w:rPr>
                <w:sz w:val="22"/>
                <w:szCs w:val="22"/>
              </w:rPr>
              <w:t xml:space="preserve"> and the 403(b) 15-Year </w:t>
            </w:r>
            <w:r w:rsidR="00FC3EA7" w:rsidRPr="00D560BD">
              <w:rPr>
                <w:sz w:val="22"/>
                <w:szCs w:val="22"/>
              </w:rPr>
              <w:t>Catch-Up</w:t>
            </w:r>
            <w:r w:rsidRPr="00D560BD">
              <w:rPr>
                <w:sz w:val="22"/>
                <w:szCs w:val="22"/>
              </w:rPr>
              <w:t xml:space="preserve"> may both be used in the same year.  A participant in both plans could potentially defer </w:t>
            </w:r>
            <w:r w:rsidRPr="00D560BD">
              <w:rPr>
                <w:b/>
                <w:sz w:val="22"/>
                <w:szCs w:val="22"/>
              </w:rPr>
              <w:t>$</w:t>
            </w:r>
            <w:r w:rsidR="00955028" w:rsidRPr="00D560BD">
              <w:rPr>
                <w:b/>
                <w:sz w:val="22"/>
                <w:szCs w:val="22"/>
              </w:rPr>
              <w:t>7</w:t>
            </w:r>
            <w:r w:rsidR="00E6131F" w:rsidRPr="00D560BD">
              <w:rPr>
                <w:b/>
                <w:sz w:val="22"/>
                <w:szCs w:val="22"/>
              </w:rPr>
              <w:t>8</w:t>
            </w:r>
            <w:r w:rsidRPr="00D560BD">
              <w:rPr>
                <w:b/>
                <w:sz w:val="22"/>
                <w:szCs w:val="22"/>
              </w:rPr>
              <w:t>,</w:t>
            </w:r>
            <w:r w:rsidR="00877F06" w:rsidRPr="00D560BD">
              <w:rPr>
                <w:b/>
                <w:sz w:val="22"/>
                <w:szCs w:val="22"/>
              </w:rPr>
              <w:t>0</w:t>
            </w:r>
            <w:r w:rsidR="00B57B32" w:rsidRPr="00D560BD">
              <w:rPr>
                <w:b/>
                <w:sz w:val="22"/>
                <w:szCs w:val="22"/>
              </w:rPr>
              <w:t>00</w:t>
            </w:r>
            <w:r w:rsidRPr="00D560BD">
              <w:rPr>
                <w:b/>
                <w:sz w:val="22"/>
                <w:szCs w:val="22"/>
              </w:rPr>
              <w:t xml:space="preserve"> in </w:t>
            </w:r>
            <w:r w:rsidR="008D1D03" w:rsidRPr="00D560BD">
              <w:rPr>
                <w:b/>
                <w:sz w:val="22"/>
                <w:szCs w:val="22"/>
              </w:rPr>
              <w:t>2023</w:t>
            </w:r>
            <w:r w:rsidRPr="00D560BD">
              <w:rPr>
                <w:sz w:val="22"/>
                <w:szCs w:val="22"/>
              </w:rPr>
              <w:t xml:space="preserve"> if eligible for the full 403(b) 15-Year Catch</w:t>
            </w:r>
            <w:r w:rsidR="00FC3EA7" w:rsidRPr="00D560BD">
              <w:rPr>
                <w:sz w:val="22"/>
                <w:szCs w:val="22"/>
              </w:rPr>
              <w:t>-Up</w:t>
            </w:r>
            <w:r w:rsidR="00030D4F" w:rsidRPr="00D560BD">
              <w:rPr>
                <w:sz w:val="22"/>
                <w:szCs w:val="22"/>
              </w:rPr>
              <w:t>, 403(b) age 50 Catch-Up</w:t>
            </w:r>
            <w:r w:rsidRPr="00D560BD">
              <w:rPr>
                <w:sz w:val="22"/>
                <w:szCs w:val="22"/>
              </w:rPr>
              <w:t xml:space="preserve"> and the full 457 Standard </w:t>
            </w:r>
            <w:r w:rsidR="00FC3EA7" w:rsidRPr="00D560BD">
              <w:rPr>
                <w:sz w:val="22"/>
                <w:szCs w:val="22"/>
              </w:rPr>
              <w:t>Catch-Up</w:t>
            </w:r>
            <w:r w:rsidRPr="00D560BD">
              <w:rPr>
                <w:sz w:val="22"/>
                <w:szCs w:val="22"/>
              </w:rPr>
              <w:t>.</w:t>
            </w:r>
            <w:r w:rsidR="00DC0359" w:rsidRPr="00D560BD">
              <w:rPr>
                <w:sz w:val="22"/>
                <w:szCs w:val="22"/>
              </w:rPr>
              <w:tab/>
            </w:r>
          </w:p>
        </w:tc>
      </w:tr>
      <w:tr w:rsidR="00297A16" w:rsidRPr="00557E5D" w14:paraId="65620D52" w14:textId="77777777" w:rsidTr="00EA051D">
        <w:trPr>
          <w:cantSplit/>
        </w:trPr>
        <w:tc>
          <w:tcPr>
            <w:tcW w:w="8539" w:type="dxa"/>
          </w:tcPr>
          <w:p w14:paraId="632A35E2" w14:textId="0E272DAE" w:rsidR="005C2E08" w:rsidRPr="00E6131F" w:rsidRDefault="00297A16" w:rsidP="00EA2FB4">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tc>
      </w:tr>
    </w:tbl>
    <w:p w14:paraId="3438D18C" w14:textId="0A1FF71D" w:rsidR="00851555" w:rsidRDefault="00851555" w:rsidP="00E946A6">
      <w:pPr>
        <w:pStyle w:val="BlockLine"/>
        <w:ind w:left="1350"/>
        <w:jc w:val="right"/>
        <w:rPr>
          <w:i/>
          <w:sz w:val="20"/>
        </w:rPr>
      </w:pPr>
    </w:p>
    <w:tbl>
      <w:tblPr>
        <w:tblW w:w="10368" w:type="dxa"/>
        <w:tblLayout w:type="fixed"/>
        <w:tblLook w:val="0000" w:firstRow="0" w:lastRow="0" w:firstColumn="0" w:lastColumn="0" w:noHBand="0" w:noVBand="0"/>
      </w:tblPr>
      <w:tblGrid>
        <w:gridCol w:w="1818"/>
        <w:gridCol w:w="8550"/>
      </w:tblGrid>
      <w:tr w:rsidR="00D560BD" w14:paraId="650EA84F" w14:textId="77777777" w:rsidTr="007C4BF3">
        <w:trPr>
          <w:cantSplit/>
        </w:trPr>
        <w:tc>
          <w:tcPr>
            <w:tcW w:w="1818" w:type="dxa"/>
          </w:tcPr>
          <w:p w14:paraId="3B1431FE" w14:textId="77777777" w:rsidR="00D560BD" w:rsidRPr="0042401C" w:rsidRDefault="00D560BD" w:rsidP="007C4BF3">
            <w:pPr>
              <w:pStyle w:val="Heading5"/>
            </w:pPr>
            <w:r w:rsidRPr="0042401C">
              <w:t>Misc. Deduction TPA Processing Schedule</w:t>
            </w:r>
          </w:p>
        </w:tc>
        <w:tc>
          <w:tcPr>
            <w:tcW w:w="8550" w:type="dxa"/>
          </w:tcPr>
          <w:p w14:paraId="10CEB551" w14:textId="77777777" w:rsidR="00D560BD" w:rsidRPr="00D560BD" w:rsidRDefault="00D560BD" w:rsidP="007C4BF3">
            <w:pPr>
              <w:pStyle w:val="BlockText"/>
              <w:rPr>
                <w:sz w:val="22"/>
                <w:szCs w:val="22"/>
              </w:rPr>
            </w:pPr>
            <w:r w:rsidRPr="00D560BD">
              <w:rPr>
                <w:sz w:val="22"/>
                <w:szCs w:val="22"/>
              </w:rPr>
              <w:t xml:space="preserve">The calendar year 2023 cut-off date schedule governing new enrollment and change processing for the miscellaneous insurance and annuity third party administrator (FBMC) can be found on the website in the Payroll Navigation section at </w:t>
            </w:r>
            <w:hyperlink r:id="rId16" w:history="1">
              <w:r w:rsidRPr="00D560BD">
                <w:rPr>
                  <w:rStyle w:val="Hyperlink"/>
                  <w:sz w:val="22"/>
                  <w:szCs w:val="22"/>
                </w:rPr>
                <w:t>https://www.doa.virginia.gov/reference/payroll/</w:t>
              </w:r>
            </w:hyperlink>
          </w:p>
        </w:tc>
      </w:tr>
    </w:tbl>
    <w:p w14:paraId="17C7C0FF" w14:textId="77777777" w:rsidR="00D560BD" w:rsidRDefault="00D560BD" w:rsidP="00D560BD">
      <w:pPr>
        <w:pStyle w:val="BlockLine"/>
        <w:ind w:left="1350"/>
        <w:jc w:val="right"/>
        <w:rPr>
          <w:i/>
          <w:sz w:val="20"/>
        </w:rPr>
      </w:pPr>
    </w:p>
    <w:tbl>
      <w:tblPr>
        <w:tblW w:w="10368" w:type="dxa"/>
        <w:tblLayout w:type="fixed"/>
        <w:tblLook w:val="0000" w:firstRow="0" w:lastRow="0" w:firstColumn="0" w:lastColumn="0" w:noHBand="0" w:noVBand="0"/>
      </w:tblPr>
      <w:tblGrid>
        <w:gridCol w:w="1818"/>
        <w:gridCol w:w="8550"/>
      </w:tblGrid>
      <w:tr w:rsidR="00851555" w14:paraId="178668A6" w14:textId="77777777" w:rsidTr="007C4BF3">
        <w:trPr>
          <w:cantSplit/>
        </w:trPr>
        <w:tc>
          <w:tcPr>
            <w:tcW w:w="1818" w:type="dxa"/>
          </w:tcPr>
          <w:p w14:paraId="14E3EFA8" w14:textId="44A467EE" w:rsidR="00851555" w:rsidRPr="0042401C" w:rsidRDefault="00D560BD" w:rsidP="007C4BF3">
            <w:pPr>
              <w:pStyle w:val="Heading5"/>
            </w:pPr>
            <w:r>
              <w:t>VGEA Dues Increase</w:t>
            </w:r>
          </w:p>
        </w:tc>
        <w:tc>
          <w:tcPr>
            <w:tcW w:w="8550" w:type="dxa"/>
          </w:tcPr>
          <w:p w14:paraId="076DBA08" w14:textId="4DA6690F" w:rsidR="00851555" w:rsidRPr="00D560BD" w:rsidRDefault="00D560BD" w:rsidP="007C4BF3">
            <w:pPr>
              <w:pStyle w:val="BlockText"/>
              <w:rPr>
                <w:sz w:val="22"/>
                <w:szCs w:val="22"/>
              </w:rPr>
            </w:pPr>
            <w:r w:rsidRPr="00D560BD">
              <w:rPr>
                <w:sz w:val="22"/>
                <w:szCs w:val="22"/>
              </w:rPr>
              <w:t xml:space="preserve">Dues for membership in the Virginia Governmental Employees Association will increase effective with the 12/25-01/09 pay period from $4.00 per pay period to $6.00 per pay period.  This change will be made in HCM </w:t>
            </w:r>
            <w:r w:rsidR="00E853F0">
              <w:rPr>
                <w:sz w:val="22"/>
                <w:szCs w:val="22"/>
              </w:rPr>
              <w:t>automatically.</w:t>
            </w:r>
          </w:p>
        </w:tc>
      </w:tr>
    </w:tbl>
    <w:p w14:paraId="7DA5E40B" w14:textId="7DA805F9" w:rsidR="00E946A6" w:rsidRDefault="00E946A6" w:rsidP="00E946A6">
      <w:pPr>
        <w:pStyle w:val="BlockLine"/>
        <w:ind w:left="1350"/>
        <w:jc w:val="right"/>
        <w:rPr>
          <w:i/>
          <w:sz w:val="20"/>
        </w:rPr>
      </w:pPr>
      <w:proofErr w:type="gramStart"/>
      <w:r>
        <w:rPr>
          <w:i/>
          <w:sz w:val="20"/>
        </w:rPr>
        <w:t>Continued on</w:t>
      </w:r>
      <w:proofErr w:type="gramEnd"/>
      <w:r>
        <w:rPr>
          <w:i/>
          <w:sz w:val="20"/>
        </w:rPr>
        <w:t xml:space="preserve"> next page</w:t>
      </w:r>
    </w:p>
    <w:p w14:paraId="3F948AC7" w14:textId="556FAA04" w:rsidR="00BE01F2" w:rsidRDefault="005942C7" w:rsidP="00613992">
      <w:pPr>
        <w:rPr>
          <w:sz w:val="16"/>
          <w:szCs w:val="16"/>
        </w:rPr>
      </w:pPr>
      <w:r>
        <w:br w:type="page"/>
      </w:r>
    </w:p>
    <w:p w14:paraId="46531E65" w14:textId="77777777" w:rsidR="00B70C06" w:rsidRDefault="00B70C06" w:rsidP="00B70C06">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14:paraId="7DC1D377" w14:textId="77777777" w:rsidR="00B70C06" w:rsidRDefault="00B70C06" w:rsidP="00B70C06">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B70C06" w14:paraId="5E9CDCB6" w14:textId="77777777" w:rsidTr="00BC12F5">
        <w:trPr>
          <w:cantSplit/>
        </w:trPr>
        <w:tc>
          <w:tcPr>
            <w:tcW w:w="1638" w:type="dxa"/>
          </w:tcPr>
          <w:p w14:paraId="0FDA8713" w14:textId="286657E5" w:rsidR="00B70C06" w:rsidRPr="00880158" w:rsidRDefault="00B70C06" w:rsidP="00BC12F5">
            <w:pPr>
              <w:pStyle w:val="Heading5"/>
              <w:rPr>
                <w:sz w:val="24"/>
                <w:szCs w:val="24"/>
              </w:rPr>
            </w:pPr>
            <w:r w:rsidRPr="00880158">
              <w:rPr>
                <w:sz w:val="24"/>
                <w:szCs w:val="24"/>
              </w:rPr>
              <w:t xml:space="preserve">Year-End Processing for </w:t>
            </w:r>
            <w:r w:rsidR="00863C60">
              <w:rPr>
                <w:sz w:val="24"/>
                <w:szCs w:val="24"/>
              </w:rPr>
              <w:t>Absence Management</w:t>
            </w:r>
            <w:r w:rsidRPr="00880158">
              <w:rPr>
                <w:sz w:val="24"/>
                <w:szCs w:val="24"/>
              </w:rPr>
              <w:t xml:space="preserve"> </w:t>
            </w:r>
          </w:p>
        </w:tc>
        <w:tc>
          <w:tcPr>
            <w:tcW w:w="8640" w:type="dxa"/>
          </w:tcPr>
          <w:p w14:paraId="04FC502F" w14:textId="26AFE60D" w:rsidR="00863C60" w:rsidRPr="00B612F9" w:rsidRDefault="00B70C06" w:rsidP="00863C60">
            <w:pPr>
              <w:pStyle w:val="Extmemo"/>
              <w:jc w:val="both"/>
              <w:rPr>
                <w:sz w:val="22"/>
                <w:szCs w:val="22"/>
              </w:rPr>
            </w:pPr>
            <w:r w:rsidRPr="00863C60">
              <w:rPr>
                <w:rFonts w:ascii="Times New Roman" w:hAnsi="Times New Roman"/>
                <w:sz w:val="22"/>
                <w:szCs w:val="22"/>
              </w:rPr>
              <w:t xml:space="preserve">In accordance with DHRM policy annual leave balances will be reduced to the maximum accrual limits (indicated in the Annual Leave Policy, Number 4.10) </w:t>
            </w:r>
            <w:r w:rsidR="00863C60" w:rsidRPr="00863C60">
              <w:rPr>
                <w:rFonts w:ascii="Times New Roman" w:hAnsi="Times New Roman"/>
                <w:sz w:val="22"/>
                <w:szCs w:val="22"/>
              </w:rPr>
              <w:t xml:space="preserve">on January 13, 2023.  The annual leave job will run first thing in the morning and 2022 </w:t>
            </w:r>
            <w:r w:rsidR="00863C60" w:rsidRPr="00863C60">
              <w:rPr>
                <w:rFonts w:ascii="Times New Roman" w:hAnsi="Times New Roman"/>
                <w:color w:val="242424"/>
                <w:sz w:val="22"/>
                <w:szCs w:val="22"/>
                <w:shd w:val="clear" w:color="auto" w:fill="FFFFFF"/>
              </w:rPr>
              <w:t xml:space="preserve">should be closed with balances visible in </w:t>
            </w:r>
            <w:r w:rsidR="00863C60">
              <w:rPr>
                <w:rFonts w:ascii="Times New Roman" w:hAnsi="Times New Roman"/>
                <w:color w:val="242424"/>
                <w:sz w:val="22"/>
                <w:szCs w:val="22"/>
                <w:shd w:val="clear" w:color="auto" w:fill="FFFFFF"/>
              </w:rPr>
              <w:t xml:space="preserve">Employee </w:t>
            </w:r>
            <w:r w:rsidR="00863C60" w:rsidRPr="00863C60">
              <w:rPr>
                <w:rFonts w:ascii="Times New Roman" w:hAnsi="Times New Roman"/>
                <w:color w:val="242424"/>
                <w:sz w:val="22"/>
                <w:szCs w:val="22"/>
                <w:shd w:val="clear" w:color="auto" w:fill="FFFFFF"/>
              </w:rPr>
              <w:t>Self</w:t>
            </w:r>
            <w:r w:rsidR="00863C60">
              <w:rPr>
                <w:rFonts w:ascii="Times New Roman" w:hAnsi="Times New Roman"/>
                <w:color w:val="242424"/>
                <w:sz w:val="22"/>
                <w:szCs w:val="22"/>
                <w:shd w:val="clear" w:color="auto" w:fill="FFFFFF"/>
              </w:rPr>
              <w:t xml:space="preserve"> S</w:t>
            </w:r>
            <w:r w:rsidR="00863C60" w:rsidRPr="00863C60">
              <w:rPr>
                <w:rFonts w:ascii="Times New Roman" w:hAnsi="Times New Roman"/>
                <w:color w:val="242424"/>
                <w:sz w:val="22"/>
                <w:szCs w:val="22"/>
                <w:shd w:val="clear" w:color="auto" w:fill="FFFFFF"/>
              </w:rPr>
              <w:t>ervice by noon provided there are no problems.</w:t>
            </w:r>
            <w:r w:rsidR="00863C60">
              <w:rPr>
                <w:rFonts w:ascii="Times New Roman" w:hAnsi="Times New Roman"/>
                <w:color w:val="242424"/>
                <w:sz w:val="22"/>
                <w:szCs w:val="22"/>
                <w:shd w:val="clear" w:color="auto" w:fill="FFFFFF"/>
              </w:rPr>
              <w:t xml:space="preserve">  All leave for 2022 must be entered in accordance with the timesheet due date of Thursday, January 12.  A</w:t>
            </w:r>
            <w:r w:rsidR="00863C60" w:rsidRPr="00863C60">
              <w:rPr>
                <w:rFonts w:ascii="Times New Roman" w:hAnsi="Times New Roman"/>
                <w:color w:val="242424"/>
                <w:sz w:val="22"/>
                <w:szCs w:val="22"/>
                <w:shd w:val="clear" w:color="auto" w:fill="FFFFFF"/>
              </w:rPr>
              <w:t xml:space="preserve">djustments made after </w:t>
            </w:r>
            <w:r w:rsidR="00863C60">
              <w:rPr>
                <w:rFonts w:ascii="Times New Roman" w:hAnsi="Times New Roman"/>
                <w:color w:val="242424"/>
                <w:sz w:val="22"/>
                <w:szCs w:val="22"/>
                <w:shd w:val="clear" w:color="auto" w:fill="FFFFFF"/>
              </w:rPr>
              <w:t xml:space="preserve">that time </w:t>
            </w:r>
            <w:r w:rsidR="00863C60" w:rsidRPr="00863C60">
              <w:rPr>
                <w:rFonts w:ascii="Times New Roman" w:hAnsi="Times New Roman"/>
                <w:color w:val="242424"/>
                <w:sz w:val="22"/>
                <w:szCs w:val="22"/>
                <w:shd w:val="clear" w:color="auto" w:fill="FFFFFF"/>
              </w:rPr>
              <w:t xml:space="preserve">will be treated </w:t>
            </w:r>
            <w:r w:rsidR="00863C60">
              <w:rPr>
                <w:rFonts w:ascii="Times New Roman" w:hAnsi="Times New Roman"/>
                <w:color w:val="242424"/>
                <w:sz w:val="22"/>
                <w:szCs w:val="22"/>
                <w:shd w:val="clear" w:color="auto" w:fill="FFFFFF"/>
              </w:rPr>
              <w:t xml:space="preserve">as </w:t>
            </w:r>
            <w:r w:rsidR="00863C60" w:rsidRPr="00863C60">
              <w:rPr>
                <w:rFonts w:ascii="Times New Roman" w:hAnsi="Times New Roman"/>
                <w:color w:val="242424"/>
                <w:sz w:val="22"/>
                <w:szCs w:val="22"/>
                <w:shd w:val="clear" w:color="auto" w:fill="FFFFFF"/>
              </w:rPr>
              <w:t>prior period adjustments</w:t>
            </w:r>
            <w:r w:rsidR="00863C60">
              <w:rPr>
                <w:rFonts w:ascii="Times New Roman" w:hAnsi="Times New Roman"/>
                <w:color w:val="242424"/>
                <w:sz w:val="22"/>
                <w:szCs w:val="22"/>
                <w:shd w:val="clear" w:color="auto" w:fill="FFFFFF"/>
              </w:rPr>
              <w:t>.</w:t>
            </w:r>
          </w:p>
        </w:tc>
      </w:tr>
    </w:tbl>
    <w:p w14:paraId="42CC1074" w14:textId="77777777" w:rsidR="00B70C06" w:rsidRPr="009B7649" w:rsidRDefault="00B70C06" w:rsidP="00B70C06">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9524D3" w14:paraId="62A48FD4" w14:textId="77777777" w:rsidTr="009524D3">
        <w:trPr>
          <w:cantSplit/>
          <w:trHeight w:val="312"/>
        </w:trPr>
        <w:tc>
          <w:tcPr>
            <w:tcW w:w="1638" w:type="dxa"/>
          </w:tcPr>
          <w:p w14:paraId="5A88A135" w14:textId="77777777" w:rsidR="009524D3" w:rsidRDefault="009524D3" w:rsidP="00BC12F5">
            <w:pPr>
              <w:pStyle w:val="Heading5"/>
            </w:pPr>
            <w:r>
              <w:t>Leave Questions</w:t>
            </w:r>
          </w:p>
        </w:tc>
        <w:tc>
          <w:tcPr>
            <w:tcW w:w="8640" w:type="dxa"/>
          </w:tcPr>
          <w:p w14:paraId="2367DD61" w14:textId="4E1D8617" w:rsidR="009524D3" w:rsidRPr="003A3E08" w:rsidRDefault="009524D3" w:rsidP="008A2BC2">
            <w:pPr>
              <w:pStyle w:val="BlockText"/>
              <w:jc w:val="both"/>
              <w:rPr>
                <w:sz w:val="22"/>
                <w:szCs w:val="22"/>
              </w:rPr>
            </w:pPr>
            <w:r w:rsidRPr="003A3E08">
              <w:rPr>
                <w:sz w:val="22"/>
                <w:szCs w:val="22"/>
              </w:rPr>
              <w:t xml:space="preserve">Direct </w:t>
            </w:r>
            <w:r w:rsidR="008A2BC2" w:rsidRPr="003A3E08">
              <w:rPr>
                <w:sz w:val="22"/>
                <w:szCs w:val="22"/>
              </w:rPr>
              <w:t xml:space="preserve">leave </w:t>
            </w:r>
            <w:r w:rsidRPr="003A3E08">
              <w:rPr>
                <w:sz w:val="22"/>
                <w:szCs w:val="22"/>
              </w:rPr>
              <w:t xml:space="preserve">questions </w:t>
            </w:r>
            <w:r w:rsidR="008A2BC2" w:rsidRPr="003A3E08">
              <w:rPr>
                <w:sz w:val="22"/>
                <w:szCs w:val="22"/>
              </w:rPr>
              <w:t>to VCCC and include Cardinal Absence Management in the subject line.</w:t>
            </w:r>
          </w:p>
        </w:tc>
      </w:tr>
    </w:tbl>
    <w:p w14:paraId="5E2E9DB1" w14:textId="77777777" w:rsidR="009524D3" w:rsidRDefault="009524D3" w:rsidP="009524D3">
      <w:pPr>
        <w:pStyle w:val="BlockLine"/>
        <w:ind w:left="1350"/>
        <w:rPr>
          <w:sz w:val="16"/>
          <w:szCs w:val="16"/>
        </w:rPr>
      </w:pPr>
    </w:p>
    <w:p w14:paraId="52EE1B8C" w14:textId="77777777"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Contact Personnel</w:t>
      </w:r>
    </w:p>
    <w:p w14:paraId="13A3ACEB" w14:textId="77777777"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14:paraId="7676CF09" w14:textId="77777777">
        <w:trPr>
          <w:cantSplit/>
        </w:trPr>
        <w:tc>
          <w:tcPr>
            <w:tcW w:w="1908" w:type="dxa"/>
          </w:tcPr>
          <w:p w14:paraId="092D6BCC" w14:textId="77777777" w:rsidR="00ED1D0A" w:rsidRPr="0042401C" w:rsidRDefault="003A316A" w:rsidP="0042401C">
            <w:pPr>
              <w:pStyle w:val="Heading5"/>
            </w:pPr>
            <w:bookmarkStart w:id="0" w:name="_Toc470065094"/>
            <w:r w:rsidRPr="0042401C">
              <w:br w:type="page"/>
            </w:r>
            <w:bookmarkEnd w:id="0"/>
            <w:r w:rsidR="00ED1D0A" w:rsidRPr="0042401C">
              <w:t>Communication Guidance</w:t>
            </w:r>
          </w:p>
        </w:tc>
        <w:tc>
          <w:tcPr>
            <w:tcW w:w="8550" w:type="dxa"/>
          </w:tcPr>
          <w:p w14:paraId="2E8D1BF8" w14:textId="4CAA615E" w:rsidR="00ED1D0A" w:rsidRPr="003A3E08" w:rsidRDefault="009928C0" w:rsidP="00DD41D6">
            <w:pPr>
              <w:pStyle w:val="BlockText"/>
              <w:rPr>
                <w:sz w:val="22"/>
                <w:szCs w:val="22"/>
              </w:rPr>
            </w:pPr>
            <w:r w:rsidRPr="003A3E08">
              <w:rPr>
                <w:b/>
                <w:bCs/>
                <w:i/>
                <w:iCs/>
                <w:sz w:val="22"/>
                <w:szCs w:val="22"/>
              </w:rPr>
              <w:t xml:space="preserve">All sensitive documents must be submitted via the proper folder per agency in SPO SharePoint. </w:t>
            </w:r>
            <w:r w:rsidRPr="003A3E08">
              <w:rPr>
                <w:sz w:val="22"/>
                <w:szCs w:val="22"/>
              </w:rPr>
              <w:t xml:space="preserve"> </w:t>
            </w:r>
            <w:r w:rsidR="00ED1D0A" w:rsidRPr="003A3E08">
              <w:rPr>
                <w:sz w:val="22"/>
                <w:szCs w:val="22"/>
              </w:rPr>
              <w:t xml:space="preserve">Use E-mail to avoid “telephone tag” and </w:t>
            </w:r>
            <w:r w:rsidRPr="003A3E08">
              <w:rPr>
                <w:sz w:val="22"/>
                <w:szCs w:val="22"/>
              </w:rPr>
              <w:t>always include the employee number (name is not necessary) and</w:t>
            </w:r>
            <w:r w:rsidR="00ED1D0A" w:rsidRPr="003A3E08">
              <w:rPr>
                <w:sz w:val="22"/>
                <w:szCs w:val="22"/>
              </w:rPr>
              <w:t xml:space="preserve"> all necessary relevant information.  </w:t>
            </w:r>
            <w:r w:rsidRPr="003A3E08">
              <w:rPr>
                <w:sz w:val="22"/>
                <w:szCs w:val="22"/>
              </w:rPr>
              <w:t xml:space="preserve">Questions may also be submitted to </w:t>
            </w:r>
            <w:hyperlink r:id="rId17" w:history="1">
              <w:r w:rsidRPr="003A3E08">
                <w:rPr>
                  <w:rStyle w:val="Hyperlink"/>
                  <w:sz w:val="22"/>
                  <w:szCs w:val="22"/>
                </w:rPr>
                <w:t>Payroll@DOA.Virginia.GOV</w:t>
              </w:r>
            </w:hyperlink>
            <w:r w:rsidRPr="003A3E08">
              <w:rPr>
                <w:sz w:val="22"/>
                <w:szCs w:val="22"/>
              </w:rPr>
              <w:t xml:space="preserve">  </w:t>
            </w:r>
            <w:r w:rsidR="00ED1D0A" w:rsidRPr="003A3E08">
              <w:rPr>
                <w:sz w:val="22"/>
                <w:szCs w:val="22"/>
              </w:rPr>
              <w:t xml:space="preserve">This will significantly reduce the amount of time it takes DOA personnel to address questions or concerns.  </w:t>
            </w:r>
          </w:p>
        </w:tc>
      </w:tr>
    </w:tbl>
    <w:p w14:paraId="46F17339" w14:textId="77777777" w:rsidR="0022743B" w:rsidRDefault="0022743B" w:rsidP="0022743B">
      <w:pPr>
        <w:pStyle w:val="BlockLine"/>
        <w:ind w:left="1350"/>
        <w:rPr>
          <w:sz w:val="16"/>
          <w:szCs w:val="16"/>
        </w:rPr>
      </w:pPr>
    </w:p>
    <w:p w14:paraId="166A7BFC" w14:textId="77777777" w:rsidR="001C3492" w:rsidRPr="001C3492" w:rsidRDefault="001C3492" w:rsidP="001C3492">
      <w:pPr>
        <w:pStyle w:val="MapTitleContinued"/>
        <w:rPr>
          <w:rFonts w:ascii="Times New Roman" w:hAnsi="Times New Roman"/>
          <w:i/>
          <w:sz w:val="22"/>
          <w:szCs w:val="22"/>
          <w:u w:val="single"/>
        </w:rPr>
      </w:pPr>
      <w:r w:rsidRPr="001C3492">
        <w:rPr>
          <w:rFonts w:ascii="Times New Roman" w:hAnsi="Times New Roman"/>
          <w:i/>
          <w:sz w:val="22"/>
          <w:szCs w:val="22"/>
          <w:u w:val="single"/>
        </w:rPr>
        <w:t>Payroll Operations – ACH and Void Payments</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880"/>
        <w:gridCol w:w="4346"/>
        <w:gridCol w:w="1170"/>
      </w:tblGrid>
      <w:tr w:rsidR="001C3492" w:rsidRPr="001C3492" w14:paraId="6A636814" w14:textId="77777777" w:rsidTr="001C3492">
        <w:tc>
          <w:tcPr>
            <w:tcW w:w="2062" w:type="dxa"/>
          </w:tcPr>
          <w:p w14:paraId="0E233FF3" w14:textId="77777777" w:rsidR="001C3492" w:rsidRPr="001C3492" w:rsidRDefault="001C3492" w:rsidP="007C4BF3">
            <w:pPr>
              <w:jc w:val="center"/>
              <w:rPr>
                <w:b/>
                <w:sz w:val="22"/>
                <w:szCs w:val="22"/>
              </w:rPr>
            </w:pPr>
            <w:r w:rsidRPr="001C3492">
              <w:rPr>
                <w:b/>
                <w:sz w:val="22"/>
                <w:szCs w:val="22"/>
              </w:rPr>
              <w:t>Name</w:t>
            </w:r>
          </w:p>
        </w:tc>
        <w:tc>
          <w:tcPr>
            <w:tcW w:w="2880" w:type="dxa"/>
          </w:tcPr>
          <w:p w14:paraId="7959191A" w14:textId="77777777" w:rsidR="001C3492" w:rsidRPr="001C3492" w:rsidRDefault="001C3492" w:rsidP="007C4BF3">
            <w:pPr>
              <w:jc w:val="center"/>
              <w:rPr>
                <w:b/>
                <w:sz w:val="22"/>
                <w:szCs w:val="22"/>
              </w:rPr>
            </w:pPr>
            <w:r w:rsidRPr="001C3492">
              <w:rPr>
                <w:b/>
                <w:sz w:val="22"/>
                <w:szCs w:val="22"/>
              </w:rPr>
              <w:t>Functional Area</w:t>
            </w:r>
          </w:p>
        </w:tc>
        <w:tc>
          <w:tcPr>
            <w:tcW w:w="4346" w:type="dxa"/>
          </w:tcPr>
          <w:p w14:paraId="6A24F3C1" w14:textId="77777777" w:rsidR="001C3492" w:rsidRPr="001C3492" w:rsidRDefault="001C3492" w:rsidP="007C4BF3">
            <w:pPr>
              <w:jc w:val="center"/>
              <w:rPr>
                <w:b/>
                <w:sz w:val="22"/>
                <w:szCs w:val="22"/>
              </w:rPr>
            </w:pPr>
            <w:r w:rsidRPr="001C3492">
              <w:rPr>
                <w:b/>
                <w:sz w:val="22"/>
                <w:szCs w:val="22"/>
              </w:rPr>
              <w:t>E-mail</w:t>
            </w:r>
          </w:p>
        </w:tc>
        <w:tc>
          <w:tcPr>
            <w:tcW w:w="1170" w:type="dxa"/>
          </w:tcPr>
          <w:p w14:paraId="26A80FF4" w14:textId="77777777" w:rsidR="001C3492" w:rsidRPr="001C3492" w:rsidRDefault="001C3492" w:rsidP="007C4BF3">
            <w:pPr>
              <w:jc w:val="center"/>
              <w:rPr>
                <w:b/>
                <w:sz w:val="22"/>
                <w:szCs w:val="22"/>
              </w:rPr>
            </w:pPr>
            <w:r w:rsidRPr="001C3492">
              <w:rPr>
                <w:b/>
                <w:sz w:val="22"/>
                <w:szCs w:val="22"/>
              </w:rPr>
              <w:t>Phone</w:t>
            </w:r>
          </w:p>
          <w:p w14:paraId="1878B924" w14:textId="6DCE2D68" w:rsidR="001C3492" w:rsidRPr="001C3492" w:rsidRDefault="001C3492" w:rsidP="007C4BF3">
            <w:pPr>
              <w:jc w:val="center"/>
              <w:rPr>
                <w:b/>
                <w:sz w:val="22"/>
                <w:szCs w:val="22"/>
              </w:rPr>
            </w:pPr>
            <w:r w:rsidRPr="001C3492">
              <w:rPr>
                <w:b/>
                <w:i/>
                <w:sz w:val="22"/>
                <w:szCs w:val="22"/>
              </w:rPr>
              <w:t>(</w:t>
            </w:r>
            <w:r>
              <w:rPr>
                <w:b/>
                <w:i/>
                <w:sz w:val="22"/>
                <w:szCs w:val="22"/>
              </w:rPr>
              <w:t>804-</w:t>
            </w:r>
            <w:r w:rsidRPr="001C3492">
              <w:rPr>
                <w:b/>
                <w:i/>
                <w:sz w:val="22"/>
                <w:szCs w:val="22"/>
              </w:rPr>
              <w:t>)</w:t>
            </w:r>
          </w:p>
        </w:tc>
      </w:tr>
      <w:tr w:rsidR="001C3492" w:rsidRPr="001C3492" w14:paraId="2D9E06A5" w14:textId="77777777" w:rsidTr="001C3492">
        <w:tc>
          <w:tcPr>
            <w:tcW w:w="2062" w:type="dxa"/>
          </w:tcPr>
          <w:p w14:paraId="31C33417" w14:textId="77777777" w:rsidR="001C3492" w:rsidRDefault="001C3492" w:rsidP="007C4BF3">
            <w:pPr>
              <w:rPr>
                <w:sz w:val="22"/>
                <w:szCs w:val="22"/>
              </w:rPr>
            </w:pPr>
            <w:r w:rsidRPr="001C3492">
              <w:rPr>
                <w:sz w:val="22"/>
                <w:szCs w:val="22"/>
              </w:rPr>
              <w:t>Kevin McElroy</w:t>
            </w:r>
          </w:p>
          <w:p w14:paraId="029CA47B" w14:textId="33E6A135" w:rsidR="001C3492" w:rsidRPr="001C3492" w:rsidRDefault="001C3492" w:rsidP="007C4BF3">
            <w:pPr>
              <w:rPr>
                <w:sz w:val="22"/>
                <w:szCs w:val="22"/>
              </w:rPr>
            </w:pPr>
          </w:p>
        </w:tc>
        <w:tc>
          <w:tcPr>
            <w:tcW w:w="2880" w:type="dxa"/>
            <w:vMerge w:val="restart"/>
          </w:tcPr>
          <w:p w14:paraId="4E5EB4A9" w14:textId="77777777" w:rsidR="001C3492" w:rsidRPr="001C3492" w:rsidRDefault="001C3492" w:rsidP="001C3492">
            <w:pPr>
              <w:pStyle w:val="Extmemo"/>
              <w:rPr>
                <w:rFonts w:ascii="Times New Roman" w:hAnsi="Times New Roman"/>
                <w:sz w:val="22"/>
                <w:szCs w:val="22"/>
              </w:rPr>
            </w:pPr>
            <w:r w:rsidRPr="001C3492">
              <w:rPr>
                <w:rFonts w:ascii="Times New Roman" w:hAnsi="Times New Roman"/>
                <w:sz w:val="22"/>
                <w:szCs w:val="22"/>
              </w:rPr>
              <w:t>Direct Deposit &amp; Stop Payments; Void Checks; Deposit Certificates; Report Distribution/Recovery; Gross Pay Differences</w:t>
            </w:r>
          </w:p>
        </w:tc>
        <w:tc>
          <w:tcPr>
            <w:tcW w:w="4346" w:type="dxa"/>
            <w:vAlign w:val="center"/>
          </w:tcPr>
          <w:p w14:paraId="22459728" w14:textId="77777777" w:rsidR="001C3492" w:rsidRPr="001C3492" w:rsidRDefault="001C3492" w:rsidP="007C4BF3">
            <w:pPr>
              <w:jc w:val="center"/>
              <w:rPr>
                <w:sz w:val="22"/>
                <w:szCs w:val="22"/>
              </w:rPr>
            </w:pPr>
            <w:r w:rsidRPr="001C3492">
              <w:rPr>
                <w:rStyle w:val="Hyperlink"/>
                <w:sz w:val="22"/>
                <w:szCs w:val="22"/>
              </w:rPr>
              <w:t>Kevin.McElroy@doa.virginia.gov</w:t>
            </w:r>
            <w:r w:rsidRPr="001C3492">
              <w:rPr>
                <w:sz w:val="22"/>
                <w:szCs w:val="22"/>
              </w:rPr>
              <w:t xml:space="preserve"> </w:t>
            </w:r>
          </w:p>
        </w:tc>
        <w:tc>
          <w:tcPr>
            <w:tcW w:w="1170" w:type="dxa"/>
            <w:vAlign w:val="center"/>
          </w:tcPr>
          <w:p w14:paraId="62C4A941" w14:textId="77777777" w:rsidR="001C3492" w:rsidRPr="001C3492" w:rsidRDefault="001C3492" w:rsidP="007C4BF3">
            <w:pPr>
              <w:jc w:val="center"/>
              <w:rPr>
                <w:sz w:val="22"/>
                <w:szCs w:val="22"/>
              </w:rPr>
            </w:pPr>
            <w:r w:rsidRPr="001C3492">
              <w:rPr>
                <w:sz w:val="22"/>
                <w:szCs w:val="22"/>
              </w:rPr>
              <w:t>371-4883</w:t>
            </w:r>
          </w:p>
        </w:tc>
      </w:tr>
      <w:tr w:rsidR="001C3492" w:rsidRPr="001C3492" w14:paraId="1F2F67C0" w14:textId="77777777" w:rsidTr="001C3492">
        <w:tc>
          <w:tcPr>
            <w:tcW w:w="2062" w:type="dxa"/>
          </w:tcPr>
          <w:p w14:paraId="2271AE3A" w14:textId="77777777" w:rsidR="001C3492" w:rsidRPr="001C3492" w:rsidRDefault="001C3492" w:rsidP="007C4BF3">
            <w:pPr>
              <w:rPr>
                <w:sz w:val="22"/>
                <w:szCs w:val="22"/>
              </w:rPr>
            </w:pPr>
            <w:r w:rsidRPr="001C3492">
              <w:rPr>
                <w:sz w:val="22"/>
                <w:szCs w:val="22"/>
              </w:rPr>
              <w:t>Cathy Gravatt</w:t>
            </w:r>
          </w:p>
        </w:tc>
        <w:tc>
          <w:tcPr>
            <w:tcW w:w="2880" w:type="dxa"/>
            <w:vMerge/>
          </w:tcPr>
          <w:p w14:paraId="7E35A914" w14:textId="77777777" w:rsidR="001C3492" w:rsidRPr="001C3492" w:rsidRDefault="001C3492" w:rsidP="007C4BF3">
            <w:pPr>
              <w:pStyle w:val="Extmemo"/>
              <w:rPr>
                <w:rFonts w:ascii="Times New Roman" w:hAnsi="Times New Roman"/>
                <w:sz w:val="22"/>
                <w:szCs w:val="22"/>
              </w:rPr>
            </w:pPr>
          </w:p>
        </w:tc>
        <w:tc>
          <w:tcPr>
            <w:tcW w:w="4346" w:type="dxa"/>
            <w:vAlign w:val="center"/>
          </w:tcPr>
          <w:p w14:paraId="6BA46571" w14:textId="77777777" w:rsidR="001C3492" w:rsidRPr="001C3492" w:rsidRDefault="001C3492" w:rsidP="007C4BF3">
            <w:pPr>
              <w:jc w:val="center"/>
              <w:rPr>
                <w:sz w:val="22"/>
                <w:szCs w:val="22"/>
              </w:rPr>
            </w:pPr>
            <w:r w:rsidRPr="001C3492">
              <w:rPr>
                <w:rStyle w:val="Hyperlink"/>
                <w:sz w:val="22"/>
                <w:szCs w:val="22"/>
              </w:rPr>
              <w:t>Cathy.gravatt@doa.virginia.gov</w:t>
            </w:r>
            <w:r w:rsidRPr="001C3492">
              <w:rPr>
                <w:sz w:val="22"/>
                <w:szCs w:val="22"/>
              </w:rPr>
              <w:t xml:space="preserve"> </w:t>
            </w:r>
          </w:p>
        </w:tc>
        <w:tc>
          <w:tcPr>
            <w:tcW w:w="1170" w:type="dxa"/>
            <w:vAlign w:val="center"/>
          </w:tcPr>
          <w:p w14:paraId="1CD47F96" w14:textId="77777777" w:rsidR="001C3492" w:rsidRPr="001C3492" w:rsidRDefault="001C3492" w:rsidP="007C4BF3">
            <w:pPr>
              <w:jc w:val="center"/>
              <w:rPr>
                <w:sz w:val="22"/>
                <w:szCs w:val="22"/>
              </w:rPr>
            </w:pPr>
            <w:r w:rsidRPr="001C3492">
              <w:rPr>
                <w:sz w:val="22"/>
                <w:szCs w:val="22"/>
              </w:rPr>
              <w:t>371-8385</w:t>
            </w:r>
          </w:p>
        </w:tc>
      </w:tr>
    </w:tbl>
    <w:p w14:paraId="78ABE473" w14:textId="77777777" w:rsidR="001C3492" w:rsidRPr="001C3492" w:rsidRDefault="001C3492" w:rsidP="001C3492">
      <w:pPr>
        <w:outlineLvl w:val="0"/>
        <w:rPr>
          <w:b/>
          <w:i/>
          <w:sz w:val="16"/>
          <w:szCs w:val="16"/>
          <w:u w:val="single"/>
        </w:rPr>
      </w:pPr>
    </w:p>
    <w:p w14:paraId="7567F65A" w14:textId="77777777" w:rsidR="001C3492" w:rsidRPr="001C3492" w:rsidRDefault="001C3492" w:rsidP="001C3492">
      <w:pPr>
        <w:rPr>
          <w:sz w:val="22"/>
          <w:szCs w:val="22"/>
        </w:rPr>
      </w:pPr>
      <w:r w:rsidRPr="001C3492">
        <w:rPr>
          <w:b/>
          <w:i/>
          <w:sz w:val="22"/>
          <w:szCs w:val="22"/>
          <w:u w:val="single"/>
        </w:rPr>
        <w:t>Payroll Operations – Benefit Accounting</w:t>
      </w:r>
    </w:p>
    <w:p w14:paraId="3062CE29" w14:textId="77777777" w:rsidR="001C3492" w:rsidRPr="001C3492" w:rsidRDefault="001C3492" w:rsidP="001C3492">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1C3492" w:rsidRPr="001C3492" w14:paraId="4577B119" w14:textId="77777777" w:rsidTr="007C4BF3">
        <w:tc>
          <w:tcPr>
            <w:tcW w:w="2062" w:type="dxa"/>
          </w:tcPr>
          <w:p w14:paraId="598BD149" w14:textId="77777777" w:rsidR="001C3492" w:rsidRPr="001C3492" w:rsidRDefault="001C3492" w:rsidP="007C4BF3">
            <w:pPr>
              <w:jc w:val="center"/>
              <w:rPr>
                <w:b/>
                <w:sz w:val="22"/>
                <w:szCs w:val="22"/>
              </w:rPr>
            </w:pPr>
            <w:r w:rsidRPr="001C3492">
              <w:rPr>
                <w:b/>
                <w:sz w:val="22"/>
                <w:szCs w:val="22"/>
              </w:rPr>
              <w:t>Name</w:t>
            </w:r>
          </w:p>
        </w:tc>
        <w:tc>
          <w:tcPr>
            <w:tcW w:w="2906" w:type="dxa"/>
          </w:tcPr>
          <w:p w14:paraId="63E8C7EA" w14:textId="77777777" w:rsidR="001C3492" w:rsidRPr="001C3492" w:rsidRDefault="001C3492" w:rsidP="007C4BF3">
            <w:pPr>
              <w:jc w:val="center"/>
              <w:rPr>
                <w:b/>
                <w:sz w:val="22"/>
                <w:szCs w:val="22"/>
              </w:rPr>
            </w:pPr>
            <w:r w:rsidRPr="001C3492">
              <w:rPr>
                <w:b/>
                <w:sz w:val="22"/>
                <w:szCs w:val="22"/>
              </w:rPr>
              <w:t>Functional Area</w:t>
            </w:r>
          </w:p>
        </w:tc>
        <w:tc>
          <w:tcPr>
            <w:tcW w:w="4140" w:type="dxa"/>
          </w:tcPr>
          <w:p w14:paraId="744A5983" w14:textId="77777777" w:rsidR="001C3492" w:rsidRPr="001C3492" w:rsidRDefault="001C3492" w:rsidP="007C4BF3">
            <w:pPr>
              <w:jc w:val="center"/>
              <w:rPr>
                <w:b/>
                <w:sz w:val="22"/>
                <w:szCs w:val="22"/>
              </w:rPr>
            </w:pPr>
            <w:r w:rsidRPr="001C3492">
              <w:rPr>
                <w:b/>
                <w:sz w:val="22"/>
                <w:szCs w:val="22"/>
              </w:rPr>
              <w:t>E-mail</w:t>
            </w:r>
          </w:p>
        </w:tc>
        <w:tc>
          <w:tcPr>
            <w:tcW w:w="1350" w:type="dxa"/>
          </w:tcPr>
          <w:p w14:paraId="6358D9F1" w14:textId="77777777" w:rsidR="001C3492" w:rsidRPr="001C3492" w:rsidRDefault="001C3492" w:rsidP="007C4BF3">
            <w:pPr>
              <w:jc w:val="center"/>
              <w:rPr>
                <w:b/>
                <w:sz w:val="22"/>
                <w:szCs w:val="22"/>
              </w:rPr>
            </w:pPr>
            <w:r w:rsidRPr="001C3492">
              <w:rPr>
                <w:b/>
                <w:sz w:val="22"/>
                <w:szCs w:val="22"/>
              </w:rPr>
              <w:t>Phone</w:t>
            </w:r>
          </w:p>
          <w:p w14:paraId="62ADED5B" w14:textId="34290728" w:rsidR="001C3492" w:rsidRPr="001C3492" w:rsidRDefault="001C3492" w:rsidP="007C4BF3">
            <w:pPr>
              <w:jc w:val="center"/>
              <w:rPr>
                <w:b/>
                <w:sz w:val="22"/>
                <w:szCs w:val="22"/>
              </w:rPr>
            </w:pPr>
            <w:r w:rsidRPr="001C3492">
              <w:rPr>
                <w:b/>
                <w:i/>
                <w:sz w:val="22"/>
                <w:szCs w:val="22"/>
              </w:rPr>
              <w:t>(804</w:t>
            </w:r>
            <w:r>
              <w:rPr>
                <w:b/>
                <w:i/>
                <w:sz w:val="22"/>
                <w:szCs w:val="22"/>
              </w:rPr>
              <w:t>-</w:t>
            </w:r>
            <w:r w:rsidRPr="001C3492">
              <w:rPr>
                <w:b/>
                <w:i/>
                <w:sz w:val="22"/>
                <w:szCs w:val="22"/>
              </w:rPr>
              <w:t>)</w:t>
            </w:r>
          </w:p>
        </w:tc>
      </w:tr>
      <w:tr w:rsidR="001C3492" w:rsidRPr="001C3492" w14:paraId="707B81F8" w14:textId="77777777" w:rsidTr="007C4BF3">
        <w:trPr>
          <w:trHeight w:val="552"/>
        </w:trPr>
        <w:tc>
          <w:tcPr>
            <w:tcW w:w="2062" w:type="dxa"/>
          </w:tcPr>
          <w:p w14:paraId="1BD1DB49" w14:textId="77777777" w:rsidR="001C3492" w:rsidRPr="001C3492" w:rsidRDefault="001C3492" w:rsidP="007C4BF3">
            <w:pPr>
              <w:rPr>
                <w:sz w:val="22"/>
                <w:szCs w:val="22"/>
              </w:rPr>
            </w:pPr>
            <w:r w:rsidRPr="001C3492">
              <w:rPr>
                <w:sz w:val="22"/>
                <w:szCs w:val="22"/>
              </w:rPr>
              <w:t>Stacy Taylor</w:t>
            </w:r>
          </w:p>
        </w:tc>
        <w:tc>
          <w:tcPr>
            <w:tcW w:w="2906" w:type="dxa"/>
          </w:tcPr>
          <w:p w14:paraId="5CD632C5"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Benefit Accounting Supervisor</w:t>
            </w:r>
          </w:p>
        </w:tc>
        <w:tc>
          <w:tcPr>
            <w:tcW w:w="4140" w:type="dxa"/>
            <w:vAlign w:val="center"/>
          </w:tcPr>
          <w:p w14:paraId="206692B3" w14:textId="77777777" w:rsidR="001C3492" w:rsidRPr="001C3492" w:rsidRDefault="005A1168" w:rsidP="007C4BF3">
            <w:pPr>
              <w:jc w:val="center"/>
              <w:rPr>
                <w:sz w:val="22"/>
                <w:szCs w:val="22"/>
              </w:rPr>
            </w:pPr>
            <w:hyperlink r:id="rId18" w:history="1">
              <w:r w:rsidR="001C3492" w:rsidRPr="001C3492">
                <w:rPr>
                  <w:rStyle w:val="Hyperlink"/>
                  <w:sz w:val="22"/>
                  <w:szCs w:val="22"/>
                </w:rPr>
                <w:t>Stacy.Taylor@doa.virginia.gov</w:t>
              </w:r>
            </w:hyperlink>
          </w:p>
        </w:tc>
        <w:tc>
          <w:tcPr>
            <w:tcW w:w="1350" w:type="dxa"/>
            <w:vAlign w:val="center"/>
          </w:tcPr>
          <w:p w14:paraId="1A169C6B" w14:textId="6280A3F9" w:rsidR="001C3492" w:rsidRPr="001C3492" w:rsidRDefault="005355A3" w:rsidP="007C4BF3">
            <w:pPr>
              <w:jc w:val="center"/>
              <w:rPr>
                <w:sz w:val="22"/>
                <w:szCs w:val="22"/>
              </w:rPr>
            </w:pPr>
            <w:r>
              <w:rPr>
                <w:sz w:val="22"/>
                <w:szCs w:val="22"/>
              </w:rPr>
              <w:t>225-2246</w:t>
            </w:r>
          </w:p>
        </w:tc>
      </w:tr>
      <w:tr w:rsidR="001C3492" w:rsidRPr="001C3492" w14:paraId="5E584D66" w14:textId="77777777" w:rsidTr="007C4BF3">
        <w:trPr>
          <w:trHeight w:val="435"/>
        </w:trPr>
        <w:tc>
          <w:tcPr>
            <w:tcW w:w="2062" w:type="dxa"/>
          </w:tcPr>
          <w:p w14:paraId="4D3603C6" w14:textId="77777777" w:rsidR="001C3492" w:rsidRPr="001C3492" w:rsidRDefault="001C3492" w:rsidP="007C4BF3">
            <w:pPr>
              <w:rPr>
                <w:sz w:val="22"/>
                <w:szCs w:val="22"/>
              </w:rPr>
            </w:pPr>
            <w:r w:rsidRPr="001C3492">
              <w:rPr>
                <w:sz w:val="22"/>
                <w:szCs w:val="22"/>
              </w:rPr>
              <w:t>Renee Ancarrow</w:t>
            </w:r>
          </w:p>
        </w:tc>
        <w:tc>
          <w:tcPr>
            <w:tcW w:w="2906" w:type="dxa"/>
            <w:vMerge w:val="restart"/>
          </w:tcPr>
          <w:p w14:paraId="2C3BA65C" w14:textId="4C2F3076" w:rsidR="001C3492" w:rsidRPr="001C3492" w:rsidRDefault="001B44D4" w:rsidP="007C4BF3">
            <w:pPr>
              <w:pStyle w:val="Extmemo"/>
              <w:rPr>
                <w:rFonts w:ascii="Times New Roman" w:hAnsi="Times New Roman"/>
                <w:sz w:val="22"/>
                <w:szCs w:val="22"/>
              </w:rPr>
            </w:pPr>
            <w:r>
              <w:rPr>
                <w:rFonts w:ascii="Times New Roman" w:hAnsi="Times New Roman"/>
                <w:sz w:val="22"/>
                <w:szCs w:val="22"/>
              </w:rPr>
              <w:t xml:space="preserve">AFSCME, </w:t>
            </w:r>
            <w:r w:rsidR="00667E72">
              <w:rPr>
                <w:rFonts w:ascii="Times New Roman" w:hAnsi="Times New Roman"/>
                <w:sz w:val="22"/>
                <w:szCs w:val="22"/>
              </w:rPr>
              <w:t xml:space="preserve">Annuities, CVC, CWA, </w:t>
            </w:r>
            <w:r w:rsidR="001C3492" w:rsidRPr="001C3492">
              <w:rPr>
                <w:rFonts w:ascii="Times New Roman" w:hAnsi="Times New Roman"/>
                <w:sz w:val="22"/>
                <w:szCs w:val="22"/>
              </w:rPr>
              <w:t xml:space="preserve">Defined Benefits, Defined Contributions, </w:t>
            </w:r>
            <w:r w:rsidR="00667E72">
              <w:rPr>
                <w:rFonts w:ascii="Times New Roman" w:hAnsi="Times New Roman"/>
                <w:sz w:val="22"/>
                <w:szCs w:val="22"/>
              </w:rPr>
              <w:t xml:space="preserve">Health Insurance, </w:t>
            </w:r>
            <w:proofErr w:type="spellStart"/>
            <w:r w:rsidR="00667E72">
              <w:rPr>
                <w:rFonts w:ascii="Times New Roman" w:hAnsi="Times New Roman"/>
                <w:sz w:val="22"/>
                <w:szCs w:val="22"/>
              </w:rPr>
              <w:t>Misc</w:t>
            </w:r>
            <w:proofErr w:type="spellEnd"/>
            <w:r w:rsidR="00667E72">
              <w:rPr>
                <w:rFonts w:ascii="Times New Roman" w:hAnsi="Times New Roman"/>
                <w:sz w:val="22"/>
                <w:szCs w:val="22"/>
              </w:rPr>
              <w:t xml:space="preserve"> Insurances, </w:t>
            </w:r>
            <w:r w:rsidR="001C3492" w:rsidRPr="001C3492">
              <w:rPr>
                <w:rFonts w:ascii="Times New Roman" w:hAnsi="Times New Roman"/>
                <w:sz w:val="22"/>
                <w:szCs w:val="22"/>
              </w:rPr>
              <w:t>Optional Group Life</w:t>
            </w:r>
          </w:p>
        </w:tc>
        <w:tc>
          <w:tcPr>
            <w:tcW w:w="4140" w:type="dxa"/>
            <w:vAlign w:val="center"/>
          </w:tcPr>
          <w:p w14:paraId="0769F2B0" w14:textId="77777777" w:rsidR="001C3492" w:rsidRPr="001C3492" w:rsidRDefault="005A1168" w:rsidP="007C4BF3">
            <w:pPr>
              <w:jc w:val="center"/>
              <w:rPr>
                <w:sz w:val="22"/>
                <w:szCs w:val="22"/>
              </w:rPr>
            </w:pPr>
            <w:hyperlink r:id="rId19" w:history="1">
              <w:r w:rsidR="001C3492" w:rsidRPr="001C3492">
                <w:rPr>
                  <w:rStyle w:val="Hyperlink"/>
                  <w:sz w:val="22"/>
                  <w:szCs w:val="22"/>
                </w:rPr>
                <w:t>Renee.Ancarrow@doa.virginia.gov</w:t>
              </w:r>
            </w:hyperlink>
          </w:p>
        </w:tc>
        <w:tc>
          <w:tcPr>
            <w:tcW w:w="1350" w:type="dxa"/>
            <w:vAlign w:val="center"/>
          </w:tcPr>
          <w:p w14:paraId="0690068F" w14:textId="77777777" w:rsidR="001C3492" w:rsidRPr="001C3492" w:rsidRDefault="001C3492" w:rsidP="007C4BF3">
            <w:pPr>
              <w:jc w:val="center"/>
              <w:rPr>
                <w:sz w:val="22"/>
                <w:szCs w:val="22"/>
              </w:rPr>
            </w:pPr>
          </w:p>
        </w:tc>
      </w:tr>
      <w:tr w:rsidR="001C3492" w:rsidRPr="001C3492" w14:paraId="724B4E38" w14:textId="77777777" w:rsidTr="007C4BF3">
        <w:trPr>
          <w:trHeight w:val="444"/>
        </w:trPr>
        <w:tc>
          <w:tcPr>
            <w:tcW w:w="2062" w:type="dxa"/>
          </w:tcPr>
          <w:p w14:paraId="7C9E3DC2" w14:textId="77777777" w:rsidR="001C3492" w:rsidRPr="001C3492" w:rsidRDefault="001C3492" w:rsidP="007C4BF3">
            <w:pPr>
              <w:rPr>
                <w:sz w:val="22"/>
                <w:szCs w:val="22"/>
              </w:rPr>
            </w:pPr>
            <w:r w:rsidRPr="001C3492">
              <w:rPr>
                <w:sz w:val="22"/>
                <w:szCs w:val="22"/>
              </w:rPr>
              <w:t>Vacant</w:t>
            </w:r>
          </w:p>
        </w:tc>
        <w:tc>
          <w:tcPr>
            <w:tcW w:w="2906" w:type="dxa"/>
            <w:vMerge/>
          </w:tcPr>
          <w:p w14:paraId="5DB43768" w14:textId="77777777" w:rsidR="001C3492" w:rsidRPr="001C3492" w:rsidRDefault="001C3492" w:rsidP="007C4BF3">
            <w:pPr>
              <w:pStyle w:val="Extmemo"/>
              <w:rPr>
                <w:rFonts w:ascii="Times New Roman" w:hAnsi="Times New Roman"/>
                <w:sz w:val="22"/>
                <w:szCs w:val="22"/>
              </w:rPr>
            </w:pPr>
          </w:p>
        </w:tc>
        <w:tc>
          <w:tcPr>
            <w:tcW w:w="4140" w:type="dxa"/>
            <w:vAlign w:val="center"/>
          </w:tcPr>
          <w:p w14:paraId="65BE7B67" w14:textId="77777777" w:rsidR="001C3492" w:rsidRPr="001C3492" w:rsidRDefault="001C3492" w:rsidP="007C4BF3">
            <w:pPr>
              <w:jc w:val="center"/>
              <w:rPr>
                <w:sz w:val="22"/>
                <w:szCs w:val="22"/>
              </w:rPr>
            </w:pPr>
          </w:p>
        </w:tc>
        <w:tc>
          <w:tcPr>
            <w:tcW w:w="1350" w:type="dxa"/>
            <w:vAlign w:val="center"/>
          </w:tcPr>
          <w:p w14:paraId="57910A77" w14:textId="77777777" w:rsidR="001C3492" w:rsidRPr="001C3492" w:rsidRDefault="001C3492" w:rsidP="007C4BF3">
            <w:pPr>
              <w:jc w:val="center"/>
              <w:rPr>
                <w:sz w:val="22"/>
                <w:szCs w:val="22"/>
              </w:rPr>
            </w:pPr>
          </w:p>
        </w:tc>
      </w:tr>
    </w:tbl>
    <w:p w14:paraId="4E04B620" w14:textId="77777777" w:rsidR="001C3492" w:rsidRPr="001C3492" w:rsidRDefault="001C3492" w:rsidP="001C3492">
      <w:pPr>
        <w:rPr>
          <w:sz w:val="16"/>
          <w:szCs w:val="16"/>
        </w:rPr>
      </w:pPr>
    </w:p>
    <w:p w14:paraId="25CBC62A" w14:textId="77777777" w:rsidR="001C3492" w:rsidRPr="001C3492" w:rsidRDefault="001C3492" w:rsidP="001C3492">
      <w:pPr>
        <w:rPr>
          <w:sz w:val="22"/>
          <w:szCs w:val="22"/>
        </w:rPr>
      </w:pPr>
      <w:r w:rsidRPr="001C3492">
        <w:rPr>
          <w:b/>
          <w:i/>
          <w:sz w:val="22"/>
          <w:szCs w:val="22"/>
          <w:u w:val="single"/>
        </w:rPr>
        <w:t>Payroll Operations – Garnishment Processing</w:t>
      </w:r>
    </w:p>
    <w:p w14:paraId="157DF940" w14:textId="77777777" w:rsidR="001C3492" w:rsidRPr="001C3492" w:rsidRDefault="001C3492" w:rsidP="001C3492">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1C3492" w:rsidRPr="001C3492" w14:paraId="2DAD4067" w14:textId="77777777" w:rsidTr="007C4BF3">
        <w:tc>
          <w:tcPr>
            <w:tcW w:w="2062" w:type="dxa"/>
          </w:tcPr>
          <w:p w14:paraId="1CCFC460" w14:textId="77777777" w:rsidR="001C3492" w:rsidRPr="001C3492" w:rsidRDefault="001C3492" w:rsidP="007C4BF3">
            <w:pPr>
              <w:jc w:val="center"/>
              <w:rPr>
                <w:b/>
                <w:sz w:val="22"/>
                <w:szCs w:val="22"/>
              </w:rPr>
            </w:pPr>
            <w:r w:rsidRPr="001C3492">
              <w:rPr>
                <w:b/>
                <w:sz w:val="22"/>
                <w:szCs w:val="22"/>
              </w:rPr>
              <w:t>Name</w:t>
            </w:r>
          </w:p>
        </w:tc>
        <w:tc>
          <w:tcPr>
            <w:tcW w:w="2906" w:type="dxa"/>
          </w:tcPr>
          <w:p w14:paraId="69AD4C39" w14:textId="77777777" w:rsidR="001C3492" w:rsidRPr="001C3492" w:rsidRDefault="001C3492" w:rsidP="007C4BF3">
            <w:pPr>
              <w:jc w:val="center"/>
              <w:rPr>
                <w:b/>
                <w:sz w:val="22"/>
                <w:szCs w:val="22"/>
              </w:rPr>
            </w:pPr>
            <w:r w:rsidRPr="001C3492">
              <w:rPr>
                <w:b/>
                <w:sz w:val="22"/>
                <w:szCs w:val="22"/>
              </w:rPr>
              <w:t>Functional Area</w:t>
            </w:r>
          </w:p>
        </w:tc>
        <w:tc>
          <w:tcPr>
            <w:tcW w:w="4140" w:type="dxa"/>
          </w:tcPr>
          <w:p w14:paraId="38520D23" w14:textId="77777777" w:rsidR="001C3492" w:rsidRPr="001C3492" w:rsidRDefault="001C3492" w:rsidP="007C4BF3">
            <w:pPr>
              <w:jc w:val="center"/>
              <w:rPr>
                <w:b/>
                <w:sz w:val="22"/>
                <w:szCs w:val="22"/>
              </w:rPr>
            </w:pPr>
            <w:r w:rsidRPr="001C3492">
              <w:rPr>
                <w:b/>
                <w:sz w:val="22"/>
                <w:szCs w:val="22"/>
              </w:rPr>
              <w:t>E-mail</w:t>
            </w:r>
          </w:p>
        </w:tc>
        <w:tc>
          <w:tcPr>
            <w:tcW w:w="1350" w:type="dxa"/>
          </w:tcPr>
          <w:p w14:paraId="3ECEB6CE" w14:textId="77777777" w:rsidR="001C3492" w:rsidRPr="001C3492" w:rsidRDefault="001C3492" w:rsidP="007C4BF3">
            <w:pPr>
              <w:jc w:val="center"/>
              <w:rPr>
                <w:b/>
                <w:sz w:val="22"/>
                <w:szCs w:val="22"/>
              </w:rPr>
            </w:pPr>
            <w:r w:rsidRPr="001C3492">
              <w:rPr>
                <w:b/>
                <w:sz w:val="22"/>
                <w:szCs w:val="22"/>
              </w:rPr>
              <w:t>Phone</w:t>
            </w:r>
          </w:p>
          <w:p w14:paraId="1B47D46E" w14:textId="24B657C7" w:rsidR="001C3492" w:rsidRPr="001C3492" w:rsidRDefault="001C3492" w:rsidP="007C4BF3">
            <w:pPr>
              <w:jc w:val="center"/>
              <w:rPr>
                <w:b/>
                <w:sz w:val="22"/>
                <w:szCs w:val="22"/>
              </w:rPr>
            </w:pPr>
            <w:r w:rsidRPr="001C3492">
              <w:rPr>
                <w:b/>
                <w:i/>
                <w:sz w:val="22"/>
                <w:szCs w:val="22"/>
              </w:rPr>
              <w:t>(804</w:t>
            </w:r>
            <w:r>
              <w:rPr>
                <w:b/>
                <w:i/>
                <w:sz w:val="22"/>
                <w:szCs w:val="22"/>
              </w:rPr>
              <w:t>-</w:t>
            </w:r>
            <w:r w:rsidRPr="001C3492">
              <w:rPr>
                <w:b/>
                <w:i/>
                <w:sz w:val="22"/>
                <w:szCs w:val="22"/>
              </w:rPr>
              <w:t>)</w:t>
            </w:r>
          </w:p>
        </w:tc>
      </w:tr>
      <w:tr w:rsidR="001C3492" w:rsidRPr="001C3492" w14:paraId="2BB60A82" w14:textId="77777777" w:rsidTr="007C4BF3">
        <w:trPr>
          <w:trHeight w:val="624"/>
        </w:trPr>
        <w:tc>
          <w:tcPr>
            <w:tcW w:w="2062" w:type="dxa"/>
          </w:tcPr>
          <w:p w14:paraId="6A8C6AFC" w14:textId="77777777" w:rsidR="001C3492" w:rsidRPr="001C3492" w:rsidRDefault="001C3492" w:rsidP="007C4BF3">
            <w:pPr>
              <w:rPr>
                <w:sz w:val="22"/>
                <w:szCs w:val="22"/>
              </w:rPr>
            </w:pPr>
            <w:r w:rsidRPr="001C3492">
              <w:rPr>
                <w:sz w:val="22"/>
                <w:szCs w:val="22"/>
              </w:rPr>
              <w:t>Trenika Satterwhite</w:t>
            </w:r>
          </w:p>
        </w:tc>
        <w:tc>
          <w:tcPr>
            <w:tcW w:w="2906" w:type="dxa"/>
          </w:tcPr>
          <w:p w14:paraId="27F12EE6"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Garnishment Processing Supervisor (garnishment stop payments)</w:t>
            </w:r>
          </w:p>
        </w:tc>
        <w:tc>
          <w:tcPr>
            <w:tcW w:w="4140" w:type="dxa"/>
            <w:vAlign w:val="center"/>
          </w:tcPr>
          <w:p w14:paraId="6AA0EFDD" w14:textId="77777777" w:rsidR="001C3492" w:rsidRPr="001C3492" w:rsidRDefault="001C3492" w:rsidP="007C4BF3">
            <w:pPr>
              <w:jc w:val="center"/>
              <w:rPr>
                <w:sz w:val="22"/>
                <w:szCs w:val="22"/>
              </w:rPr>
            </w:pPr>
            <w:r w:rsidRPr="001C3492">
              <w:rPr>
                <w:rStyle w:val="Hyperlink"/>
                <w:sz w:val="22"/>
                <w:szCs w:val="22"/>
              </w:rPr>
              <w:t>Trenika.Satterwhite@doa.virginia.gov</w:t>
            </w:r>
          </w:p>
        </w:tc>
        <w:tc>
          <w:tcPr>
            <w:tcW w:w="1350" w:type="dxa"/>
            <w:vAlign w:val="center"/>
          </w:tcPr>
          <w:p w14:paraId="3B1EE7F9" w14:textId="77777777" w:rsidR="001C3492" w:rsidRPr="001C3492" w:rsidRDefault="001C3492" w:rsidP="007C4BF3">
            <w:pPr>
              <w:jc w:val="center"/>
              <w:rPr>
                <w:sz w:val="22"/>
                <w:szCs w:val="22"/>
              </w:rPr>
            </w:pPr>
            <w:r w:rsidRPr="001C3492">
              <w:rPr>
                <w:sz w:val="22"/>
                <w:szCs w:val="22"/>
              </w:rPr>
              <w:t>225-3065</w:t>
            </w:r>
          </w:p>
        </w:tc>
      </w:tr>
      <w:tr w:rsidR="001C3492" w:rsidRPr="001C3492" w14:paraId="73702CBF" w14:textId="77777777" w:rsidTr="007C4BF3">
        <w:trPr>
          <w:trHeight w:val="345"/>
        </w:trPr>
        <w:tc>
          <w:tcPr>
            <w:tcW w:w="2062" w:type="dxa"/>
          </w:tcPr>
          <w:p w14:paraId="01BDE8E9" w14:textId="77777777" w:rsidR="001C3492" w:rsidRPr="001C3492" w:rsidRDefault="001C3492" w:rsidP="007C4BF3">
            <w:pPr>
              <w:rPr>
                <w:sz w:val="22"/>
                <w:szCs w:val="22"/>
              </w:rPr>
            </w:pPr>
            <w:r w:rsidRPr="001C3492">
              <w:rPr>
                <w:sz w:val="22"/>
                <w:szCs w:val="22"/>
              </w:rPr>
              <w:t>Martha Grande</w:t>
            </w:r>
          </w:p>
        </w:tc>
        <w:tc>
          <w:tcPr>
            <w:tcW w:w="2906" w:type="dxa"/>
            <w:vMerge w:val="restart"/>
          </w:tcPr>
          <w:p w14:paraId="6D9CD14A" w14:textId="77777777" w:rsidR="001C3492" w:rsidRPr="001C3492" w:rsidRDefault="001C3492" w:rsidP="007C4BF3">
            <w:pPr>
              <w:pStyle w:val="Extmemo"/>
              <w:rPr>
                <w:rFonts w:ascii="Times New Roman" w:hAnsi="Times New Roman"/>
                <w:sz w:val="22"/>
                <w:szCs w:val="22"/>
              </w:rPr>
            </w:pPr>
            <w:r w:rsidRPr="001C3492">
              <w:rPr>
                <w:rFonts w:ascii="Times New Roman" w:hAnsi="Times New Roman"/>
                <w:sz w:val="22"/>
                <w:szCs w:val="22"/>
              </w:rPr>
              <w:t xml:space="preserve">Garnishment set up, release, error correction </w:t>
            </w:r>
          </w:p>
          <w:p w14:paraId="3415E8E4" w14:textId="77777777" w:rsidR="001C3492" w:rsidRPr="001C3492" w:rsidRDefault="001C3492" w:rsidP="007C4BF3">
            <w:pPr>
              <w:pStyle w:val="Extmemo"/>
              <w:rPr>
                <w:rFonts w:ascii="Times New Roman" w:hAnsi="Times New Roman"/>
                <w:sz w:val="22"/>
                <w:szCs w:val="22"/>
              </w:rPr>
            </w:pPr>
          </w:p>
        </w:tc>
        <w:tc>
          <w:tcPr>
            <w:tcW w:w="4140" w:type="dxa"/>
            <w:vAlign w:val="center"/>
          </w:tcPr>
          <w:p w14:paraId="479437B0" w14:textId="77777777" w:rsidR="001C3492" w:rsidRPr="001C3492" w:rsidRDefault="001C3492" w:rsidP="007C4BF3">
            <w:pPr>
              <w:jc w:val="center"/>
              <w:rPr>
                <w:rStyle w:val="Hyperlink"/>
                <w:sz w:val="22"/>
                <w:szCs w:val="22"/>
              </w:rPr>
            </w:pPr>
            <w:r w:rsidRPr="001C3492">
              <w:rPr>
                <w:rStyle w:val="Hyperlink"/>
                <w:sz w:val="22"/>
                <w:szCs w:val="22"/>
              </w:rPr>
              <w:t>Martha.Grande@doa.virginia.gov</w:t>
            </w:r>
          </w:p>
        </w:tc>
        <w:tc>
          <w:tcPr>
            <w:tcW w:w="1350" w:type="dxa"/>
            <w:vAlign w:val="center"/>
          </w:tcPr>
          <w:p w14:paraId="1C293202" w14:textId="738D7C0B" w:rsidR="001C3492" w:rsidRPr="001C3492" w:rsidRDefault="00427B14" w:rsidP="007C4BF3">
            <w:pPr>
              <w:jc w:val="center"/>
              <w:rPr>
                <w:sz w:val="22"/>
                <w:szCs w:val="22"/>
              </w:rPr>
            </w:pPr>
            <w:r>
              <w:rPr>
                <w:sz w:val="22"/>
                <w:szCs w:val="22"/>
              </w:rPr>
              <w:t>225-4666</w:t>
            </w:r>
          </w:p>
        </w:tc>
      </w:tr>
      <w:tr w:rsidR="001C3492" w:rsidRPr="001C3492" w14:paraId="1C23D9B5" w14:textId="77777777" w:rsidTr="007C4BF3">
        <w:trPr>
          <w:trHeight w:val="354"/>
        </w:trPr>
        <w:tc>
          <w:tcPr>
            <w:tcW w:w="2062" w:type="dxa"/>
          </w:tcPr>
          <w:p w14:paraId="31719A2B" w14:textId="77777777" w:rsidR="001C3492" w:rsidRPr="001C3492" w:rsidRDefault="001C3492" w:rsidP="007C4BF3">
            <w:pPr>
              <w:rPr>
                <w:sz w:val="22"/>
                <w:szCs w:val="22"/>
              </w:rPr>
            </w:pPr>
            <w:r w:rsidRPr="001C3492">
              <w:rPr>
                <w:sz w:val="22"/>
                <w:szCs w:val="22"/>
              </w:rPr>
              <w:t>Crystal Hopkins</w:t>
            </w:r>
          </w:p>
        </w:tc>
        <w:tc>
          <w:tcPr>
            <w:tcW w:w="2906" w:type="dxa"/>
            <w:vMerge/>
          </w:tcPr>
          <w:p w14:paraId="6E3423FB" w14:textId="77777777" w:rsidR="001C3492" w:rsidRPr="001C3492" w:rsidRDefault="001C3492" w:rsidP="007C4BF3">
            <w:pPr>
              <w:pStyle w:val="Extmemo"/>
              <w:rPr>
                <w:rFonts w:ascii="Times New Roman" w:hAnsi="Times New Roman"/>
                <w:sz w:val="22"/>
                <w:szCs w:val="22"/>
              </w:rPr>
            </w:pPr>
          </w:p>
        </w:tc>
        <w:tc>
          <w:tcPr>
            <w:tcW w:w="4140" w:type="dxa"/>
            <w:vAlign w:val="center"/>
          </w:tcPr>
          <w:p w14:paraId="61555582" w14:textId="77777777" w:rsidR="001C3492" w:rsidRPr="001C3492" w:rsidRDefault="001C3492" w:rsidP="007C4BF3">
            <w:pPr>
              <w:jc w:val="center"/>
              <w:rPr>
                <w:rStyle w:val="Hyperlink"/>
                <w:sz w:val="22"/>
                <w:szCs w:val="22"/>
              </w:rPr>
            </w:pPr>
            <w:r w:rsidRPr="001C3492">
              <w:rPr>
                <w:rStyle w:val="Hyperlink"/>
                <w:sz w:val="22"/>
                <w:szCs w:val="22"/>
              </w:rPr>
              <w:t>Crystal.Hopkins@doa.virginia.gov</w:t>
            </w:r>
          </w:p>
        </w:tc>
        <w:tc>
          <w:tcPr>
            <w:tcW w:w="1350" w:type="dxa"/>
            <w:vAlign w:val="center"/>
          </w:tcPr>
          <w:p w14:paraId="21BE49D9" w14:textId="74007332" w:rsidR="001C3492" w:rsidRPr="001C3492" w:rsidRDefault="00427B14" w:rsidP="007C4BF3">
            <w:pPr>
              <w:jc w:val="center"/>
              <w:rPr>
                <w:sz w:val="22"/>
                <w:szCs w:val="22"/>
              </w:rPr>
            </w:pPr>
            <w:r>
              <w:rPr>
                <w:sz w:val="22"/>
                <w:szCs w:val="22"/>
              </w:rPr>
              <w:t>225-4663</w:t>
            </w:r>
          </w:p>
        </w:tc>
      </w:tr>
    </w:tbl>
    <w:p w14:paraId="7CDF39C8" w14:textId="77777777" w:rsidR="00F12145" w:rsidRDefault="00F12145" w:rsidP="00A45290">
      <w:pPr>
        <w:rPr>
          <w:b/>
          <w:sz w:val="28"/>
          <w:szCs w:val="28"/>
        </w:rPr>
      </w:pPr>
      <w:bookmarkStart w:id="1" w:name="_Hlk123554058"/>
    </w:p>
    <w:p w14:paraId="046E4F35" w14:textId="1AB8BAC0" w:rsidR="00A45290" w:rsidRPr="00DF7947" w:rsidRDefault="00A45290" w:rsidP="00A45290">
      <w:pPr>
        <w:rPr>
          <w:b/>
          <w:sz w:val="28"/>
          <w:szCs w:val="28"/>
        </w:rPr>
      </w:pPr>
      <w:r w:rsidRPr="00DF7947">
        <w:rPr>
          <w:b/>
          <w:sz w:val="28"/>
          <w:szCs w:val="28"/>
        </w:rPr>
        <w:t xml:space="preserve">Payroll </w:t>
      </w:r>
      <w:r>
        <w:rPr>
          <w:b/>
          <w:sz w:val="28"/>
          <w:szCs w:val="28"/>
        </w:rPr>
        <w:t xml:space="preserve">Contact Personnel, </w:t>
      </w:r>
      <w:r w:rsidRPr="00403EF4">
        <w:rPr>
          <w:szCs w:val="24"/>
        </w:rPr>
        <w:t>continued</w:t>
      </w:r>
    </w:p>
    <w:p w14:paraId="16E16944" w14:textId="2250BF77" w:rsidR="00A45290" w:rsidRDefault="00A45290" w:rsidP="00A45290">
      <w:pPr>
        <w:pStyle w:val="BlockLine"/>
        <w:ind w:left="1350"/>
        <w:rPr>
          <w:sz w:val="16"/>
          <w:szCs w:val="16"/>
        </w:rPr>
      </w:pPr>
    </w:p>
    <w:bookmarkEnd w:id="1"/>
    <w:p w14:paraId="79B48024" w14:textId="77777777" w:rsidR="00F30214" w:rsidRPr="001C3492" w:rsidRDefault="00F30214" w:rsidP="00F30214">
      <w:pPr>
        <w:outlineLvl w:val="0"/>
        <w:rPr>
          <w:b/>
          <w:i/>
          <w:sz w:val="22"/>
          <w:szCs w:val="22"/>
          <w:u w:val="single"/>
        </w:rPr>
      </w:pPr>
      <w:r w:rsidRPr="001C3492">
        <w:rPr>
          <w:b/>
          <w:i/>
          <w:sz w:val="22"/>
          <w:szCs w:val="22"/>
          <w:u w:val="single"/>
        </w:rPr>
        <w:t>Payroll Operations – HCM Payroll Processing</w:t>
      </w:r>
    </w:p>
    <w:p w14:paraId="7FFBEC0A" w14:textId="77777777" w:rsidR="00F30214" w:rsidRPr="001C3492" w:rsidRDefault="00F30214" w:rsidP="00F30214">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F30214" w:rsidRPr="001C3492" w14:paraId="5E436FA7" w14:textId="77777777" w:rsidTr="001B6DCB">
        <w:tc>
          <w:tcPr>
            <w:tcW w:w="2062" w:type="dxa"/>
          </w:tcPr>
          <w:p w14:paraId="7E9B3610" w14:textId="77777777" w:rsidR="00F30214" w:rsidRPr="001C3492" w:rsidRDefault="00F30214" w:rsidP="007C4BF3">
            <w:pPr>
              <w:jc w:val="center"/>
              <w:rPr>
                <w:b/>
                <w:sz w:val="22"/>
                <w:szCs w:val="22"/>
              </w:rPr>
            </w:pPr>
            <w:r w:rsidRPr="001C3492">
              <w:rPr>
                <w:b/>
                <w:sz w:val="22"/>
                <w:szCs w:val="22"/>
              </w:rPr>
              <w:t>Name</w:t>
            </w:r>
          </w:p>
        </w:tc>
        <w:tc>
          <w:tcPr>
            <w:tcW w:w="2906" w:type="dxa"/>
          </w:tcPr>
          <w:p w14:paraId="2375FC86" w14:textId="77777777" w:rsidR="00F30214" w:rsidRPr="001C3492" w:rsidRDefault="00F30214" w:rsidP="007C4BF3">
            <w:pPr>
              <w:jc w:val="center"/>
              <w:rPr>
                <w:b/>
                <w:sz w:val="22"/>
                <w:szCs w:val="22"/>
              </w:rPr>
            </w:pPr>
            <w:r w:rsidRPr="001C3492">
              <w:rPr>
                <w:b/>
                <w:sz w:val="22"/>
                <w:szCs w:val="22"/>
              </w:rPr>
              <w:t>Functional Area</w:t>
            </w:r>
          </w:p>
        </w:tc>
        <w:tc>
          <w:tcPr>
            <w:tcW w:w="4140" w:type="dxa"/>
          </w:tcPr>
          <w:p w14:paraId="00656C23" w14:textId="77777777" w:rsidR="00F30214" w:rsidRPr="001C3492" w:rsidRDefault="00F30214" w:rsidP="007C4BF3">
            <w:pPr>
              <w:jc w:val="center"/>
              <w:rPr>
                <w:b/>
                <w:sz w:val="22"/>
                <w:szCs w:val="22"/>
              </w:rPr>
            </w:pPr>
            <w:r w:rsidRPr="001C3492">
              <w:rPr>
                <w:b/>
                <w:sz w:val="22"/>
                <w:szCs w:val="22"/>
              </w:rPr>
              <w:t>E-mail</w:t>
            </w:r>
          </w:p>
        </w:tc>
        <w:tc>
          <w:tcPr>
            <w:tcW w:w="1350" w:type="dxa"/>
          </w:tcPr>
          <w:p w14:paraId="4DF22AD1" w14:textId="77777777" w:rsidR="00F30214" w:rsidRPr="001C3492" w:rsidRDefault="00F30214" w:rsidP="007C4BF3">
            <w:pPr>
              <w:jc w:val="center"/>
              <w:rPr>
                <w:b/>
                <w:sz w:val="22"/>
                <w:szCs w:val="22"/>
              </w:rPr>
            </w:pPr>
            <w:r w:rsidRPr="001C3492">
              <w:rPr>
                <w:b/>
                <w:sz w:val="22"/>
                <w:szCs w:val="22"/>
              </w:rPr>
              <w:t>Phone</w:t>
            </w:r>
          </w:p>
          <w:p w14:paraId="5E61854B" w14:textId="5A9471C5" w:rsidR="00F30214" w:rsidRPr="001C3492" w:rsidRDefault="00F30214"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F30214" w:rsidRPr="001C3492" w14:paraId="4F97E212" w14:textId="77777777" w:rsidTr="001B6DCB">
        <w:trPr>
          <w:trHeight w:val="615"/>
        </w:trPr>
        <w:tc>
          <w:tcPr>
            <w:tcW w:w="2062" w:type="dxa"/>
          </w:tcPr>
          <w:p w14:paraId="5C1F389A" w14:textId="77777777" w:rsidR="00F30214" w:rsidRPr="001C3492" w:rsidRDefault="00F30214" w:rsidP="007C4BF3">
            <w:pPr>
              <w:rPr>
                <w:sz w:val="22"/>
                <w:szCs w:val="22"/>
              </w:rPr>
            </w:pPr>
            <w:r w:rsidRPr="001C3492">
              <w:rPr>
                <w:sz w:val="22"/>
                <w:szCs w:val="22"/>
              </w:rPr>
              <w:t xml:space="preserve">Valerie </w:t>
            </w:r>
            <w:proofErr w:type="spellStart"/>
            <w:r w:rsidRPr="001C3492">
              <w:rPr>
                <w:sz w:val="22"/>
                <w:szCs w:val="22"/>
              </w:rPr>
              <w:t>Dunmars</w:t>
            </w:r>
            <w:proofErr w:type="spellEnd"/>
            <w:r w:rsidRPr="001C3492">
              <w:rPr>
                <w:sz w:val="22"/>
                <w:szCs w:val="22"/>
              </w:rPr>
              <w:t xml:space="preserve"> Hurdle</w:t>
            </w:r>
          </w:p>
        </w:tc>
        <w:tc>
          <w:tcPr>
            <w:tcW w:w="2906" w:type="dxa"/>
          </w:tcPr>
          <w:p w14:paraId="34CB4B1B" w14:textId="7234C706" w:rsidR="00F30214" w:rsidRPr="001C3492" w:rsidRDefault="00F30214" w:rsidP="00F30214">
            <w:pPr>
              <w:pStyle w:val="Extmemo"/>
              <w:rPr>
                <w:rFonts w:ascii="Times New Roman" w:hAnsi="Times New Roman"/>
                <w:sz w:val="22"/>
                <w:szCs w:val="22"/>
              </w:rPr>
            </w:pPr>
            <w:r w:rsidRPr="001C3492">
              <w:rPr>
                <w:rFonts w:ascii="Times New Roman" w:hAnsi="Times New Roman"/>
                <w:sz w:val="22"/>
                <w:szCs w:val="22"/>
              </w:rPr>
              <w:t>HCM Accounting Supervisor</w:t>
            </w:r>
            <w:r w:rsidR="00CC43A4" w:rsidRPr="001C3492">
              <w:rPr>
                <w:rFonts w:ascii="Times New Roman" w:hAnsi="Times New Roman"/>
                <w:sz w:val="22"/>
                <w:szCs w:val="22"/>
              </w:rPr>
              <w:t xml:space="preserve"> (SPOT Approvals)</w:t>
            </w:r>
          </w:p>
        </w:tc>
        <w:tc>
          <w:tcPr>
            <w:tcW w:w="4140" w:type="dxa"/>
            <w:vAlign w:val="center"/>
          </w:tcPr>
          <w:p w14:paraId="760D1882" w14:textId="77777777" w:rsidR="00F30214" w:rsidRPr="001C3492" w:rsidRDefault="005A1168" w:rsidP="007C4BF3">
            <w:pPr>
              <w:jc w:val="center"/>
              <w:rPr>
                <w:sz w:val="22"/>
                <w:szCs w:val="22"/>
              </w:rPr>
            </w:pPr>
            <w:hyperlink r:id="rId20" w:history="1">
              <w:r w:rsidR="00F30214" w:rsidRPr="001C3492">
                <w:rPr>
                  <w:rStyle w:val="Hyperlink"/>
                  <w:sz w:val="22"/>
                  <w:szCs w:val="22"/>
                </w:rPr>
                <w:t>Valerie.dunmars@doa.virginia.gov</w:t>
              </w:r>
            </w:hyperlink>
          </w:p>
        </w:tc>
        <w:tc>
          <w:tcPr>
            <w:tcW w:w="1350" w:type="dxa"/>
            <w:vAlign w:val="center"/>
          </w:tcPr>
          <w:p w14:paraId="6F721AED" w14:textId="77777777" w:rsidR="00F30214" w:rsidRPr="001C3492" w:rsidRDefault="00F30214" w:rsidP="007C4BF3">
            <w:pPr>
              <w:jc w:val="center"/>
              <w:rPr>
                <w:sz w:val="22"/>
                <w:szCs w:val="22"/>
              </w:rPr>
            </w:pPr>
            <w:r w:rsidRPr="001C3492">
              <w:rPr>
                <w:sz w:val="22"/>
                <w:szCs w:val="22"/>
              </w:rPr>
              <w:t>786-0227</w:t>
            </w:r>
          </w:p>
          <w:p w14:paraId="077FDEED" w14:textId="77777777" w:rsidR="00F30214" w:rsidRPr="001C3492" w:rsidRDefault="00F30214" w:rsidP="007C4BF3">
            <w:pPr>
              <w:jc w:val="center"/>
              <w:rPr>
                <w:sz w:val="22"/>
                <w:szCs w:val="22"/>
              </w:rPr>
            </w:pPr>
          </w:p>
        </w:tc>
      </w:tr>
      <w:tr w:rsidR="00F30214" w:rsidRPr="001C3492" w14:paraId="6FEB24DE" w14:textId="77777777" w:rsidTr="001B44D4">
        <w:trPr>
          <w:trHeight w:val="318"/>
        </w:trPr>
        <w:tc>
          <w:tcPr>
            <w:tcW w:w="2062" w:type="dxa"/>
          </w:tcPr>
          <w:p w14:paraId="10C89A51" w14:textId="77777777" w:rsidR="00F30214" w:rsidRPr="001C3492" w:rsidRDefault="00F30214" w:rsidP="00022E65">
            <w:pPr>
              <w:rPr>
                <w:sz w:val="22"/>
                <w:szCs w:val="22"/>
              </w:rPr>
            </w:pPr>
            <w:r w:rsidRPr="001C3492">
              <w:rPr>
                <w:sz w:val="22"/>
                <w:szCs w:val="22"/>
              </w:rPr>
              <w:t>Amy Barbour</w:t>
            </w:r>
          </w:p>
        </w:tc>
        <w:tc>
          <w:tcPr>
            <w:tcW w:w="2906" w:type="dxa"/>
            <w:vMerge w:val="restart"/>
          </w:tcPr>
          <w:p w14:paraId="534B33A3" w14:textId="6206F8FF" w:rsidR="00F30214" w:rsidRPr="001C3492" w:rsidRDefault="00F30214" w:rsidP="001B44D4">
            <w:pPr>
              <w:pStyle w:val="Extmemo"/>
              <w:rPr>
                <w:rFonts w:ascii="Times New Roman" w:hAnsi="Times New Roman"/>
                <w:sz w:val="22"/>
                <w:szCs w:val="22"/>
              </w:rPr>
            </w:pPr>
            <w:r w:rsidRPr="001C3492">
              <w:rPr>
                <w:rFonts w:ascii="Times New Roman" w:hAnsi="Times New Roman"/>
                <w:sz w:val="22"/>
                <w:szCs w:val="22"/>
              </w:rPr>
              <w:t>SPOT review, Error corrections</w:t>
            </w:r>
            <w:r w:rsidR="001E690E" w:rsidRPr="001C3492">
              <w:rPr>
                <w:rFonts w:ascii="Times New Roman" w:hAnsi="Times New Roman"/>
                <w:sz w:val="22"/>
                <w:szCs w:val="22"/>
              </w:rPr>
              <w:t>, mass deductions</w:t>
            </w:r>
          </w:p>
        </w:tc>
        <w:tc>
          <w:tcPr>
            <w:tcW w:w="4140" w:type="dxa"/>
            <w:vAlign w:val="center"/>
          </w:tcPr>
          <w:p w14:paraId="0708D2DA" w14:textId="77777777" w:rsidR="00F30214" w:rsidRPr="001C3492" w:rsidRDefault="005A1168" w:rsidP="007C4BF3">
            <w:pPr>
              <w:jc w:val="center"/>
              <w:rPr>
                <w:sz w:val="22"/>
                <w:szCs w:val="22"/>
              </w:rPr>
            </w:pPr>
            <w:hyperlink r:id="rId21" w:history="1">
              <w:r w:rsidR="00F30214" w:rsidRPr="001C3492">
                <w:rPr>
                  <w:rStyle w:val="Hyperlink"/>
                  <w:sz w:val="22"/>
                  <w:szCs w:val="22"/>
                </w:rPr>
                <w:t>Amy.Barbour@doa.virginia.gov</w:t>
              </w:r>
            </w:hyperlink>
          </w:p>
        </w:tc>
        <w:tc>
          <w:tcPr>
            <w:tcW w:w="1350" w:type="dxa"/>
            <w:vAlign w:val="center"/>
          </w:tcPr>
          <w:p w14:paraId="788DB87A" w14:textId="77777777" w:rsidR="00F30214" w:rsidRPr="001C3492" w:rsidRDefault="00F30214" w:rsidP="007C4BF3">
            <w:pPr>
              <w:jc w:val="center"/>
              <w:rPr>
                <w:sz w:val="22"/>
                <w:szCs w:val="22"/>
              </w:rPr>
            </w:pPr>
            <w:r w:rsidRPr="001C3492">
              <w:rPr>
                <w:sz w:val="22"/>
                <w:szCs w:val="22"/>
              </w:rPr>
              <w:t>225-2336</w:t>
            </w:r>
          </w:p>
        </w:tc>
      </w:tr>
      <w:tr w:rsidR="00F30214" w:rsidRPr="001C3492" w14:paraId="3817C948" w14:textId="77777777" w:rsidTr="001B6DCB">
        <w:trPr>
          <w:trHeight w:val="444"/>
        </w:trPr>
        <w:tc>
          <w:tcPr>
            <w:tcW w:w="2062" w:type="dxa"/>
          </w:tcPr>
          <w:p w14:paraId="2AF23EED" w14:textId="77777777" w:rsidR="00F30214" w:rsidRPr="001C3492" w:rsidRDefault="00F30214" w:rsidP="007C4BF3">
            <w:pPr>
              <w:rPr>
                <w:sz w:val="22"/>
                <w:szCs w:val="22"/>
              </w:rPr>
            </w:pPr>
            <w:r w:rsidRPr="001C3492">
              <w:rPr>
                <w:sz w:val="22"/>
                <w:szCs w:val="22"/>
              </w:rPr>
              <w:t>Stephanie Finklin</w:t>
            </w:r>
          </w:p>
        </w:tc>
        <w:tc>
          <w:tcPr>
            <w:tcW w:w="2906" w:type="dxa"/>
            <w:vMerge/>
          </w:tcPr>
          <w:p w14:paraId="2A64E1B1" w14:textId="77777777" w:rsidR="00F30214" w:rsidRPr="001C3492" w:rsidRDefault="00F30214" w:rsidP="007C4BF3">
            <w:pPr>
              <w:pStyle w:val="Extmemo"/>
              <w:rPr>
                <w:rFonts w:ascii="Times New Roman" w:hAnsi="Times New Roman"/>
                <w:sz w:val="22"/>
                <w:szCs w:val="22"/>
              </w:rPr>
            </w:pPr>
          </w:p>
        </w:tc>
        <w:tc>
          <w:tcPr>
            <w:tcW w:w="4140" w:type="dxa"/>
            <w:vAlign w:val="center"/>
          </w:tcPr>
          <w:p w14:paraId="7B3303BC" w14:textId="77777777" w:rsidR="00F30214" w:rsidRPr="001C3492" w:rsidRDefault="005A1168" w:rsidP="007C4BF3">
            <w:pPr>
              <w:jc w:val="center"/>
              <w:rPr>
                <w:sz w:val="22"/>
                <w:szCs w:val="22"/>
              </w:rPr>
            </w:pPr>
            <w:hyperlink r:id="rId22" w:history="1">
              <w:r w:rsidR="00F30214" w:rsidRPr="001C3492">
                <w:rPr>
                  <w:rStyle w:val="Hyperlink"/>
                  <w:sz w:val="22"/>
                  <w:szCs w:val="22"/>
                </w:rPr>
                <w:t>Stephanie.Finklin@doa.virginia.gov</w:t>
              </w:r>
            </w:hyperlink>
          </w:p>
        </w:tc>
        <w:tc>
          <w:tcPr>
            <w:tcW w:w="1350" w:type="dxa"/>
            <w:vAlign w:val="center"/>
          </w:tcPr>
          <w:p w14:paraId="6F234B97" w14:textId="77777777" w:rsidR="00F30214" w:rsidRPr="001C3492" w:rsidRDefault="00F30214" w:rsidP="007C4BF3">
            <w:pPr>
              <w:jc w:val="center"/>
              <w:rPr>
                <w:sz w:val="22"/>
                <w:szCs w:val="22"/>
              </w:rPr>
            </w:pPr>
            <w:r w:rsidRPr="001C3492">
              <w:rPr>
                <w:sz w:val="22"/>
                <w:szCs w:val="22"/>
              </w:rPr>
              <w:t>225-2390</w:t>
            </w:r>
          </w:p>
        </w:tc>
      </w:tr>
    </w:tbl>
    <w:p w14:paraId="03919884" w14:textId="77777777" w:rsidR="00F30214" w:rsidRPr="001C3492" w:rsidRDefault="00F30214" w:rsidP="00F30214">
      <w:pPr>
        <w:rPr>
          <w:sz w:val="22"/>
          <w:szCs w:val="22"/>
        </w:rPr>
      </w:pPr>
    </w:p>
    <w:p w14:paraId="6971CFD6" w14:textId="0A6DDDEC" w:rsidR="00A45290" w:rsidRPr="001C3492" w:rsidRDefault="00A45290" w:rsidP="00A45290">
      <w:pPr>
        <w:rPr>
          <w:sz w:val="22"/>
          <w:szCs w:val="22"/>
        </w:rPr>
      </w:pPr>
      <w:r w:rsidRPr="001C3492">
        <w:rPr>
          <w:b/>
          <w:i/>
          <w:sz w:val="22"/>
          <w:szCs w:val="22"/>
          <w:u w:val="single"/>
        </w:rPr>
        <w:t>Payroll Operations – Tax Accounting</w:t>
      </w:r>
    </w:p>
    <w:p w14:paraId="4E3F2613" w14:textId="77777777" w:rsidR="00A45290" w:rsidRPr="001C3492" w:rsidRDefault="00A45290" w:rsidP="00A45290">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140"/>
        <w:gridCol w:w="1350"/>
      </w:tblGrid>
      <w:tr w:rsidR="00A45290" w:rsidRPr="001C3492" w14:paraId="4C5A243E" w14:textId="77777777" w:rsidTr="001B6DCB">
        <w:tc>
          <w:tcPr>
            <w:tcW w:w="2062" w:type="dxa"/>
          </w:tcPr>
          <w:p w14:paraId="67A47EDE" w14:textId="77777777" w:rsidR="00A45290" w:rsidRPr="001C3492" w:rsidRDefault="00A45290" w:rsidP="007C4BF3">
            <w:pPr>
              <w:jc w:val="center"/>
              <w:rPr>
                <w:b/>
                <w:sz w:val="22"/>
                <w:szCs w:val="22"/>
              </w:rPr>
            </w:pPr>
            <w:r w:rsidRPr="001C3492">
              <w:rPr>
                <w:b/>
                <w:sz w:val="22"/>
                <w:szCs w:val="22"/>
              </w:rPr>
              <w:t>Name</w:t>
            </w:r>
          </w:p>
        </w:tc>
        <w:tc>
          <w:tcPr>
            <w:tcW w:w="2906" w:type="dxa"/>
          </w:tcPr>
          <w:p w14:paraId="2CA3EDEE" w14:textId="77777777" w:rsidR="00A45290" w:rsidRPr="001C3492" w:rsidRDefault="00A45290" w:rsidP="007C4BF3">
            <w:pPr>
              <w:jc w:val="center"/>
              <w:rPr>
                <w:b/>
                <w:sz w:val="22"/>
                <w:szCs w:val="22"/>
              </w:rPr>
            </w:pPr>
            <w:r w:rsidRPr="001C3492">
              <w:rPr>
                <w:b/>
                <w:sz w:val="22"/>
                <w:szCs w:val="22"/>
              </w:rPr>
              <w:t>Functional Area</w:t>
            </w:r>
          </w:p>
        </w:tc>
        <w:tc>
          <w:tcPr>
            <w:tcW w:w="4140" w:type="dxa"/>
          </w:tcPr>
          <w:p w14:paraId="27EB90CA" w14:textId="77777777" w:rsidR="00A45290" w:rsidRPr="001C3492" w:rsidRDefault="00A45290" w:rsidP="007C4BF3">
            <w:pPr>
              <w:jc w:val="center"/>
              <w:rPr>
                <w:b/>
                <w:sz w:val="22"/>
                <w:szCs w:val="22"/>
              </w:rPr>
            </w:pPr>
            <w:r w:rsidRPr="001C3492">
              <w:rPr>
                <w:b/>
                <w:sz w:val="22"/>
                <w:szCs w:val="22"/>
              </w:rPr>
              <w:t>E-mail</w:t>
            </w:r>
          </w:p>
        </w:tc>
        <w:tc>
          <w:tcPr>
            <w:tcW w:w="1350" w:type="dxa"/>
          </w:tcPr>
          <w:p w14:paraId="131E5A3F" w14:textId="77777777" w:rsidR="00A45290" w:rsidRPr="001C3492" w:rsidRDefault="00A45290" w:rsidP="007C4BF3">
            <w:pPr>
              <w:jc w:val="center"/>
              <w:rPr>
                <w:b/>
                <w:sz w:val="22"/>
                <w:szCs w:val="22"/>
              </w:rPr>
            </w:pPr>
            <w:r w:rsidRPr="001C3492">
              <w:rPr>
                <w:b/>
                <w:sz w:val="22"/>
                <w:szCs w:val="22"/>
              </w:rPr>
              <w:t>Phone</w:t>
            </w:r>
          </w:p>
          <w:p w14:paraId="0E78D398" w14:textId="287F52F1" w:rsidR="00A45290" w:rsidRPr="001C3492" w:rsidRDefault="00A45290"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A45290" w:rsidRPr="001C3492" w14:paraId="741CC19C" w14:textId="77777777" w:rsidTr="001B6DCB">
        <w:trPr>
          <w:trHeight w:val="480"/>
        </w:trPr>
        <w:tc>
          <w:tcPr>
            <w:tcW w:w="2062" w:type="dxa"/>
          </w:tcPr>
          <w:p w14:paraId="392D36F1" w14:textId="77777777" w:rsidR="00A45290" w:rsidRPr="001C3492" w:rsidRDefault="00A45290" w:rsidP="007C4BF3">
            <w:pPr>
              <w:rPr>
                <w:sz w:val="22"/>
                <w:szCs w:val="22"/>
              </w:rPr>
            </w:pPr>
            <w:r w:rsidRPr="001C3492">
              <w:rPr>
                <w:sz w:val="22"/>
                <w:szCs w:val="22"/>
              </w:rPr>
              <w:t>Tiffany Harris</w:t>
            </w:r>
          </w:p>
        </w:tc>
        <w:tc>
          <w:tcPr>
            <w:tcW w:w="2906" w:type="dxa"/>
          </w:tcPr>
          <w:p w14:paraId="16A17BEB" w14:textId="77777777" w:rsidR="00A45290" w:rsidRPr="001C3492" w:rsidRDefault="00A45290" w:rsidP="007C4BF3">
            <w:pPr>
              <w:pStyle w:val="Extmemo"/>
              <w:rPr>
                <w:rFonts w:ascii="Times New Roman" w:hAnsi="Times New Roman"/>
                <w:sz w:val="22"/>
                <w:szCs w:val="22"/>
              </w:rPr>
            </w:pPr>
            <w:r w:rsidRPr="001C3492">
              <w:rPr>
                <w:rFonts w:ascii="Times New Roman" w:hAnsi="Times New Roman"/>
                <w:sz w:val="22"/>
                <w:szCs w:val="22"/>
              </w:rPr>
              <w:t>941s; HCM Balance Adjustments; W2Cs</w:t>
            </w:r>
          </w:p>
        </w:tc>
        <w:tc>
          <w:tcPr>
            <w:tcW w:w="4140" w:type="dxa"/>
            <w:vAlign w:val="center"/>
          </w:tcPr>
          <w:p w14:paraId="4C1B9AF8" w14:textId="77777777" w:rsidR="00A45290" w:rsidRPr="001C3492" w:rsidRDefault="00A45290" w:rsidP="007C4BF3">
            <w:pPr>
              <w:jc w:val="center"/>
              <w:rPr>
                <w:sz w:val="22"/>
                <w:szCs w:val="22"/>
              </w:rPr>
            </w:pPr>
            <w:r w:rsidRPr="001C3492">
              <w:rPr>
                <w:rStyle w:val="Hyperlink"/>
                <w:sz w:val="22"/>
                <w:szCs w:val="22"/>
              </w:rPr>
              <w:t>Tiffany.Harris@doa.virginia.gov</w:t>
            </w:r>
          </w:p>
        </w:tc>
        <w:tc>
          <w:tcPr>
            <w:tcW w:w="1350" w:type="dxa"/>
            <w:vAlign w:val="center"/>
          </w:tcPr>
          <w:p w14:paraId="5A150990" w14:textId="77777777" w:rsidR="00A45290" w:rsidRPr="001C3492" w:rsidRDefault="00A45290" w:rsidP="007C4BF3">
            <w:pPr>
              <w:jc w:val="center"/>
              <w:rPr>
                <w:sz w:val="22"/>
                <w:szCs w:val="22"/>
              </w:rPr>
            </w:pPr>
            <w:r w:rsidRPr="001C3492">
              <w:rPr>
                <w:sz w:val="22"/>
                <w:szCs w:val="22"/>
              </w:rPr>
              <w:t>225-2386</w:t>
            </w:r>
          </w:p>
        </w:tc>
      </w:tr>
    </w:tbl>
    <w:p w14:paraId="0E3C77E2" w14:textId="77777777" w:rsidR="00A45290" w:rsidRPr="001C3492" w:rsidRDefault="00A45290" w:rsidP="00A45290">
      <w:pPr>
        <w:rPr>
          <w:b/>
          <w:i/>
          <w:sz w:val="22"/>
          <w:szCs w:val="22"/>
          <w:u w:val="single"/>
        </w:rPr>
      </w:pPr>
    </w:p>
    <w:p w14:paraId="469A3995" w14:textId="77777777" w:rsidR="00A45290" w:rsidRPr="001C3492" w:rsidRDefault="00A45290" w:rsidP="00A45290">
      <w:pPr>
        <w:outlineLvl w:val="0"/>
        <w:rPr>
          <w:b/>
          <w:i/>
          <w:sz w:val="22"/>
          <w:szCs w:val="22"/>
          <w:u w:val="single"/>
        </w:rPr>
      </w:pPr>
      <w:r w:rsidRPr="001C3492">
        <w:rPr>
          <w:b/>
          <w:i/>
          <w:sz w:val="22"/>
          <w:szCs w:val="22"/>
          <w:u w:val="single"/>
        </w:rPr>
        <w:t>Payroll Operations - Management</w:t>
      </w:r>
    </w:p>
    <w:p w14:paraId="259FDA0E" w14:textId="77777777" w:rsidR="00A45290" w:rsidRPr="001C3492" w:rsidRDefault="00A45290" w:rsidP="00A45290">
      <w:pPr>
        <w:rPr>
          <w:sz w:val="22"/>
          <w:szCs w:val="22"/>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2906"/>
        <w:gridCol w:w="4320"/>
        <w:gridCol w:w="1170"/>
      </w:tblGrid>
      <w:tr w:rsidR="00A45290" w:rsidRPr="001C3492" w14:paraId="7D21A95A" w14:textId="77777777" w:rsidTr="001B6DCB">
        <w:tc>
          <w:tcPr>
            <w:tcW w:w="2062" w:type="dxa"/>
          </w:tcPr>
          <w:p w14:paraId="007D0529" w14:textId="77777777" w:rsidR="00A45290" w:rsidRPr="001C3492" w:rsidRDefault="00A45290" w:rsidP="007C4BF3">
            <w:pPr>
              <w:jc w:val="center"/>
              <w:rPr>
                <w:b/>
                <w:sz w:val="22"/>
                <w:szCs w:val="22"/>
              </w:rPr>
            </w:pPr>
            <w:r w:rsidRPr="001C3492">
              <w:rPr>
                <w:b/>
                <w:sz w:val="22"/>
                <w:szCs w:val="22"/>
              </w:rPr>
              <w:t>Name</w:t>
            </w:r>
          </w:p>
        </w:tc>
        <w:tc>
          <w:tcPr>
            <w:tcW w:w="2906" w:type="dxa"/>
          </w:tcPr>
          <w:p w14:paraId="573BA09A" w14:textId="77777777" w:rsidR="00A45290" w:rsidRPr="001C3492" w:rsidRDefault="00A45290" w:rsidP="007C4BF3">
            <w:pPr>
              <w:jc w:val="center"/>
              <w:rPr>
                <w:b/>
                <w:sz w:val="22"/>
                <w:szCs w:val="22"/>
              </w:rPr>
            </w:pPr>
            <w:r w:rsidRPr="001C3492">
              <w:rPr>
                <w:b/>
                <w:sz w:val="22"/>
                <w:szCs w:val="22"/>
              </w:rPr>
              <w:t>Functional Area</w:t>
            </w:r>
          </w:p>
        </w:tc>
        <w:tc>
          <w:tcPr>
            <w:tcW w:w="4320" w:type="dxa"/>
          </w:tcPr>
          <w:p w14:paraId="258D2251" w14:textId="77777777" w:rsidR="00A45290" w:rsidRPr="001C3492" w:rsidRDefault="00A45290" w:rsidP="007C4BF3">
            <w:pPr>
              <w:jc w:val="center"/>
              <w:rPr>
                <w:b/>
                <w:sz w:val="22"/>
                <w:szCs w:val="22"/>
              </w:rPr>
            </w:pPr>
            <w:r w:rsidRPr="001C3492">
              <w:rPr>
                <w:b/>
                <w:sz w:val="22"/>
                <w:szCs w:val="22"/>
              </w:rPr>
              <w:t>E-mail</w:t>
            </w:r>
          </w:p>
        </w:tc>
        <w:tc>
          <w:tcPr>
            <w:tcW w:w="1170" w:type="dxa"/>
          </w:tcPr>
          <w:p w14:paraId="326A51B9" w14:textId="77777777" w:rsidR="00A45290" w:rsidRPr="001C3492" w:rsidRDefault="00A45290" w:rsidP="007C4BF3">
            <w:pPr>
              <w:jc w:val="center"/>
              <w:rPr>
                <w:b/>
                <w:sz w:val="22"/>
                <w:szCs w:val="22"/>
              </w:rPr>
            </w:pPr>
            <w:r w:rsidRPr="001C3492">
              <w:rPr>
                <w:b/>
                <w:sz w:val="22"/>
                <w:szCs w:val="22"/>
              </w:rPr>
              <w:t>Phone</w:t>
            </w:r>
          </w:p>
          <w:p w14:paraId="33CDE6F2" w14:textId="13BAF756" w:rsidR="00A45290" w:rsidRPr="001C3492" w:rsidRDefault="00A45290" w:rsidP="007C4BF3">
            <w:pPr>
              <w:jc w:val="center"/>
              <w:rPr>
                <w:b/>
                <w:sz w:val="22"/>
                <w:szCs w:val="22"/>
              </w:rPr>
            </w:pPr>
            <w:r w:rsidRPr="001C3492">
              <w:rPr>
                <w:b/>
                <w:i/>
                <w:sz w:val="22"/>
                <w:szCs w:val="22"/>
              </w:rPr>
              <w:t>(804</w:t>
            </w:r>
            <w:r w:rsidR="001C3492">
              <w:rPr>
                <w:b/>
                <w:i/>
                <w:sz w:val="22"/>
                <w:szCs w:val="22"/>
              </w:rPr>
              <w:t>-</w:t>
            </w:r>
            <w:r w:rsidRPr="001C3492">
              <w:rPr>
                <w:b/>
                <w:i/>
                <w:sz w:val="22"/>
                <w:szCs w:val="22"/>
              </w:rPr>
              <w:t>)</w:t>
            </w:r>
          </w:p>
        </w:tc>
      </w:tr>
      <w:tr w:rsidR="00DF72C1" w:rsidRPr="001C3492" w14:paraId="27A7F615" w14:textId="77777777" w:rsidTr="001B6DCB">
        <w:tc>
          <w:tcPr>
            <w:tcW w:w="2062" w:type="dxa"/>
          </w:tcPr>
          <w:p w14:paraId="0F6AE0ED" w14:textId="287429E8" w:rsidR="00DF72C1" w:rsidRPr="001C3492" w:rsidRDefault="00DF72C1" w:rsidP="007C4BF3">
            <w:pPr>
              <w:rPr>
                <w:sz w:val="22"/>
                <w:szCs w:val="22"/>
              </w:rPr>
            </w:pPr>
            <w:r w:rsidRPr="001C3492">
              <w:rPr>
                <w:sz w:val="22"/>
                <w:szCs w:val="22"/>
              </w:rPr>
              <w:t>Carmelita Holmes</w:t>
            </w:r>
            <w:r>
              <w:rPr>
                <w:sz w:val="22"/>
                <w:szCs w:val="22"/>
              </w:rPr>
              <w:t>, Assistant Director</w:t>
            </w:r>
          </w:p>
        </w:tc>
        <w:tc>
          <w:tcPr>
            <w:tcW w:w="2906" w:type="dxa"/>
            <w:vMerge w:val="restart"/>
          </w:tcPr>
          <w:p w14:paraId="1243A810" w14:textId="10441703" w:rsidR="00DF72C1" w:rsidRPr="001C3492" w:rsidRDefault="00DF72C1" w:rsidP="007C4BF3">
            <w:pPr>
              <w:pStyle w:val="Extmemo"/>
              <w:rPr>
                <w:rFonts w:ascii="Times New Roman" w:hAnsi="Times New Roman"/>
                <w:sz w:val="22"/>
                <w:szCs w:val="22"/>
              </w:rPr>
            </w:pPr>
            <w:r w:rsidRPr="001C3492">
              <w:rPr>
                <w:rFonts w:ascii="Times New Roman" w:hAnsi="Times New Roman"/>
                <w:sz w:val="22"/>
                <w:szCs w:val="22"/>
              </w:rPr>
              <w:t xml:space="preserve">General Information, </w:t>
            </w:r>
            <w:r>
              <w:rPr>
                <w:rFonts w:ascii="Times New Roman" w:hAnsi="Times New Roman"/>
                <w:sz w:val="22"/>
                <w:szCs w:val="22"/>
              </w:rPr>
              <w:t>Operations</w:t>
            </w:r>
            <w:r w:rsidR="00996649">
              <w:rPr>
                <w:rFonts w:ascii="Times New Roman" w:hAnsi="Times New Roman"/>
                <w:sz w:val="22"/>
                <w:szCs w:val="22"/>
              </w:rPr>
              <w:t xml:space="preserve">, </w:t>
            </w:r>
            <w:r w:rsidRPr="001C3492">
              <w:rPr>
                <w:rFonts w:ascii="Times New Roman" w:hAnsi="Times New Roman"/>
                <w:sz w:val="22"/>
                <w:szCs w:val="22"/>
              </w:rPr>
              <w:t xml:space="preserve">Benefit </w:t>
            </w:r>
            <w:r>
              <w:rPr>
                <w:rFonts w:ascii="Times New Roman" w:hAnsi="Times New Roman"/>
                <w:sz w:val="22"/>
                <w:szCs w:val="22"/>
              </w:rPr>
              <w:t xml:space="preserve">and Tax </w:t>
            </w:r>
            <w:r w:rsidRPr="001C3492">
              <w:rPr>
                <w:rFonts w:ascii="Times New Roman" w:hAnsi="Times New Roman"/>
                <w:sz w:val="22"/>
                <w:szCs w:val="22"/>
              </w:rPr>
              <w:t>Accounting Support</w:t>
            </w:r>
          </w:p>
        </w:tc>
        <w:tc>
          <w:tcPr>
            <w:tcW w:w="4320" w:type="dxa"/>
            <w:vAlign w:val="center"/>
          </w:tcPr>
          <w:p w14:paraId="4893179F" w14:textId="77777777" w:rsidR="00DF72C1" w:rsidRPr="001C3492" w:rsidRDefault="005A1168" w:rsidP="007C4BF3">
            <w:pPr>
              <w:jc w:val="center"/>
              <w:rPr>
                <w:sz w:val="22"/>
                <w:szCs w:val="22"/>
              </w:rPr>
            </w:pPr>
            <w:hyperlink r:id="rId23" w:history="1">
              <w:r w:rsidR="00DF72C1" w:rsidRPr="001C3492">
                <w:rPr>
                  <w:rStyle w:val="Hyperlink"/>
                  <w:sz w:val="22"/>
                  <w:szCs w:val="22"/>
                </w:rPr>
                <w:t>Carmelita.holmes@doa.virginia.gov</w:t>
              </w:r>
            </w:hyperlink>
          </w:p>
        </w:tc>
        <w:tc>
          <w:tcPr>
            <w:tcW w:w="1170" w:type="dxa"/>
            <w:vAlign w:val="center"/>
          </w:tcPr>
          <w:p w14:paraId="4DFE163D" w14:textId="77777777" w:rsidR="00DF72C1" w:rsidRPr="001C3492" w:rsidRDefault="00DF72C1" w:rsidP="007C4BF3">
            <w:pPr>
              <w:jc w:val="center"/>
              <w:rPr>
                <w:sz w:val="22"/>
                <w:szCs w:val="22"/>
              </w:rPr>
            </w:pPr>
            <w:r w:rsidRPr="001C3492">
              <w:rPr>
                <w:sz w:val="22"/>
                <w:szCs w:val="22"/>
              </w:rPr>
              <w:t>371-7800</w:t>
            </w:r>
          </w:p>
        </w:tc>
      </w:tr>
      <w:tr w:rsidR="00DF72C1" w:rsidRPr="001C3492" w14:paraId="58337B6C" w14:textId="77777777" w:rsidTr="001B6DCB">
        <w:tc>
          <w:tcPr>
            <w:tcW w:w="2062" w:type="dxa"/>
          </w:tcPr>
          <w:p w14:paraId="12AAFCE4" w14:textId="77777777" w:rsidR="00DF72C1" w:rsidRDefault="00DF72C1" w:rsidP="007C4BF3">
            <w:pPr>
              <w:rPr>
                <w:sz w:val="22"/>
                <w:szCs w:val="22"/>
              </w:rPr>
            </w:pPr>
            <w:r w:rsidRPr="001C3492">
              <w:rPr>
                <w:sz w:val="22"/>
                <w:szCs w:val="22"/>
              </w:rPr>
              <w:t>Cathy McGill</w:t>
            </w:r>
            <w:r>
              <w:rPr>
                <w:sz w:val="22"/>
                <w:szCs w:val="22"/>
              </w:rPr>
              <w:t>,</w:t>
            </w:r>
          </w:p>
          <w:p w14:paraId="719847E3" w14:textId="4F2869A9" w:rsidR="00DF72C1" w:rsidRPr="001C3492" w:rsidRDefault="00DF72C1" w:rsidP="007C4BF3">
            <w:pPr>
              <w:rPr>
                <w:sz w:val="22"/>
                <w:szCs w:val="22"/>
              </w:rPr>
            </w:pPr>
            <w:r>
              <w:rPr>
                <w:sz w:val="22"/>
                <w:szCs w:val="22"/>
              </w:rPr>
              <w:t>Director</w:t>
            </w:r>
          </w:p>
        </w:tc>
        <w:tc>
          <w:tcPr>
            <w:tcW w:w="2906" w:type="dxa"/>
            <w:vMerge/>
          </w:tcPr>
          <w:p w14:paraId="7A0ABB82" w14:textId="64EFD83D" w:rsidR="00DF72C1" w:rsidRPr="001C3492" w:rsidRDefault="00DF72C1" w:rsidP="007C4BF3">
            <w:pPr>
              <w:pStyle w:val="Extmemo"/>
              <w:rPr>
                <w:rFonts w:ascii="Times New Roman" w:hAnsi="Times New Roman"/>
                <w:sz w:val="22"/>
                <w:szCs w:val="22"/>
              </w:rPr>
            </w:pPr>
          </w:p>
        </w:tc>
        <w:tc>
          <w:tcPr>
            <w:tcW w:w="4320" w:type="dxa"/>
            <w:vAlign w:val="center"/>
          </w:tcPr>
          <w:p w14:paraId="0B40545E" w14:textId="34BCDC11" w:rsidR="00DF72C1" w:rsidRPr="001C3492" w:rsidRDefault="005A1168" w:rsidP="00DF72C1">
            <w:pPr>
              <w:jc w:val="center"/>
              <w:rPr>
                <w:sz w:val="22"/>
                <w:szCs w:val="22"/>
              </w:rPr>
            </w:pPr>
            <w:hyperlink r:id="rId24" w:history="1">
              <w:r w:rsidR="00DF72C1" w:rsidRPr="00CF70A8">
                <w:rPr>
                  <w:rStyle w:val="Hyperlink"/>
                  <w:sz w:val="22"/>
                  <w:szCs w:val="22"/>
                </w:rPr>
                <w:t>Cathy.McGill@doa.virginia.gov</w:t>
              </w:r>
            </w:hyperlink>
          </w:p>
        </w:tc>
        <w:tc>
          <w:tcPr>
            <w:tcW w:w="1170" w:type="dxa"/>
            <w:vAlign w:val="center"/>
          </w:tcPr>
          <w:p w14:paraId="3DF14F0C" w14:textId="77777777" w:rsidR="00DF72C1" w:rsidRPr="001C3492" w:rsidRDefault="00DF72C1" w:rsidP="007C4BF3">
            <w:pPr>
              <w:jc w:val="center"/>
              <w:rPr>
                <w:sz w:val="22"/>
                <w:szCs w:val="22"/>
              </w:rPr>
            </w:pPr>
          </w:p>
          <w:p w14:paraId="6D726256" w14:textId="77777777" w:rsidR="00DF72C1" w:rsidRPr="001C3492" w:rsidRDefault="00DF72C1" w:rsidP="007C4BF3">
            <w:pPr>
              <w:jc w:val="center"/>
              <w:rPr>
                <w:sz w:val="22"/>
                <w:szCs w:val="22"/>
              </w:rPr>
            </w:pPr>
            <w:r w:rsidRPr="001C3492">
              <w:rPr>
                <w:sz w:val="22"/>
                <w:szCs w:val="22"/>
              </w:rPr>
              <w:t>225-2245</w:t>
            </w:r>
          </w:p>
        </w:tc>
      </w:tr>
    </w:tbl>
    <w:p w14:paraId="4A12B394" w14:textId="77777777" w:rsidR="00A45290" w:rsidRPr="001C3492" w:rsidRDefault="00A45290" w:rsidP="00A45290">
      <w:pPr>
        <w:pStyle w:val="BlockLine"/>
        <w:ind w:left="1350"/>
        <w:rPr>
          <w:sz w:val="22"/>
          <w:szCs w:val="22"/>
        </w:rPr>
      </w:pPr>
    </w:p>
    <w:tbl>
      <w:tblPr>
        <w:tblW w:w="10458" w:type="dxa"/>
        <w:tblLayout w:type="fixed"/>
        <w:tblLook w:val="0000" w:firstRow="0" w:lastRow="0" w:firstColumn="0" w:lastColumn="0" w:noHBand="0" w:noVBand="0"/>
      </w:tblPr>
      <w:tblGrid>
        <w:gridCol w:w="2070"/>
        <w:gridCol w:w="8388"/>
      </w:tblGrid>
      <w:tr w:rsidR="00A45290" w:rsidRPr="001C3492" w14:paraId="0A3868D6" w14:textId="77777777" w:rsidTr="00CB09DE">
        <w:trPr>
          <w:cantSplit/>
        </w:trPr>
        <w:tc>
          <w:tcPr>
            <w:tcW w:w="2070" w:type="dxa"/>
            <w:vAlign w:val="center"/>
          </w:tcPr>
          <w:p w14:paraId="4A800A55" w14:textId="77777777" w:rsidR="00A45290" w:rsidRPr="001C3492" w:rsidRDefault="00A45290" w:rsidP="007C4BF3">
            <w:pPr>
              <w:pStyle w:val="Heading5"/>
              <w:rPr>
                <w:szCs w:val="22"/>
              </w:rPr>
            </w:pPr>
            <w:r w:rsidRPr="001C3492">
              <w:rPr>
                <w:szCs w:val="22"/>
              </w:rPr>
              <w:t>Payroll Operations General</w:t>
            </w:r>
          </w:p>
        </w:tc>
        <w:tc>
          <w:tcPr>
            <w:tcW w:w="8388" w:type="dxa"/>
            <w:vAlign w:val="center"/>
          </w:tcPr>
          <w:p w14:paraId="2D19495A" w14:textId="77777777" w:rsidR="00A45290" w:rsidRPr="001C3492" w:rsidRDefault="00A45290" w:rsidP="007C4BF3">
            <w:pPr>
              <w:ind w:left="1152"/>
              <w:rPr>
                <w:sz w:val="22"/>
                <w:szCs w:val="22"/>
              </w:rPr>
            </w:pPr>
          </w:p>
          <w:p w14:paraId="3E1FDFCE" w14:textId="77777777" w:rsidR="00A45290" w:rsidRPr="001C3492" w:rsidRDefault="00A45290" w:rsidP="007C4BF3">
            <w:pPr>
              <w:numPr>
                <w:ilvl w:val="0"/>
                <w:numId w:val="10"/>
              </w:numPr>
              <w:ind w:left="144" w:firstLine="0"/>
              <w:rPr>
                <w:sz w:val="22"/>
                <w:szCs w:val="22"/>
              </w:rPr>
            </w:pPr>
            <w:proofErr w:type="gramStart"/>
            <w:r w:rsidRPr="001C3492">
              <w:rPr>
                <w:sz w:val="22"/>
                <w:szCs w:val="22"/>
              </w:rPr>
              <w:t>FAX  (</w:t>
            </w:r>
            <w:proofErr w:type="gramEnd"/>
            <w:r w:rsidRPr="001C3492">
              <w:rPr>
                <w:sz w:val="22"/>
                <w:szCs w:val="22"/>
              </w:rPr>
              <w:t>804) 225-3499</w:t>
            </w:r>
          </w:p>
          <w:p w14:paraId="67D9C111" w14:textId="240940E1" w:rsidR="00A45290" w:rsidRPr="001C3492" w:rsidRDefault="005A1168" w:rsidP="007C4BF3">
            <w:pPr>
              <w:numPr>
                <w:ilvl w:val="0"/>
                <w:numId w:val="10"/>
              </w:numPr>
              <w:ind w:left="144" w:firstLine="0"/>
              <w:rPr>
                <w:sz w:val="22"/>
                <w:szCs w:val="22"/>
              </w:rPr>
            </w:pPr>
            <w:hyperlink r:id="rId25" w:history="1">
              <w:r w:rsidR="00DF72C1" w:rsidRPr="00CF70A8">
                <w:rPr>
                  <w:rStyle w:val="Hyperlink"/>
                  <w:sz w:val="22"/>
                  <w:szCs w:val="22"/>
                </w:rPr>
                <w:t>payroll@doa.virginia.gov</w:t>
              </w:r>
            </w:hyperlink>
          </w:p>
          <w:p w14:paraId="27D0A436" w14:textId="77777777" w:rsidR="00A45290" w:rsidRPr="001C3492" w:rsidRDefault="00A45290" w:rsidP="007C4BF3">
            <w:pPr>
              <w:ind w:left="1152"/>
              <w:rPr>
                <w:sz w:val="22"/>
                <w:szCs w:val="22"/>
              </w:rPr>
            </w:pPr>
          </w:p>
        </w:tc>
      </w:tr>
    </w:tbl>
    <w:p w14:paraId="311A9C94" w14:textId="77777777" w:rsidR="00A45290" w:rsidRPr="001C3492" w:rsidRDefault="00A45290" w:rsidP="00A45290">
      <w:pPr>
        <w:pStyle w:val="BlockLine"/>
        <w:ind w:left="1350"/>
        <w:rPr>
          <w:sz w:val="22"/>
          <w:szCs w:val="22"/>
        </w:rPr>
      </w:pPr>
    </w:p>
    <w:p w14:paraId="40CFD678" w14:textId="64F5B480" w:rsidR="00A45290" w:rsidRDefault="00A45290" w:rsidP="00A45290">
      <w:pPr>
        <w:rPr>
          <w:b/>
          <w:i/>
          <w:sz w:val="28"/>
          <w:u w:val="single"/>
        </w:rPr>
      </w:pPr>
    </w:p>
    <w:sectPr w:rsidR="00A45290" w:rsidSect="00602BF2">
      <w:headerReference w:type="even" r:id="rId26"/>
      <w:headerReference w:type="default" r:id="rId27"/>
      <w:footerReference w:type="even" r:id="rId28"/>
      <w:footerReference w:type="default" r:id="rId29"/>
      <w:headerReference w:type="first" r:id="rId30"/>
      <w:footerReference w:type="first" r:id="rId31"/>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D013" w14:textId="77777777" w:rsidR="009B52FE" w:rsidRDefault="009B52FE">
      <w:r>
        <w:separator/>
      </w:r>
    </w:p>
  </w:endnote>
  <w:endnote w:type="continuationSeparator" w:id="0">
    <w:p w14:paraId="0D3E14FE" w14:textId="77777777" w:rsidR="009B52FE" w:rsidRDefault="009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4F8" w14:textId="77777777" w:rsidR="009B52FE" w:rsidRDefault="009B52FE">
    <w:pPr>
      <w:pStyle w:val="Footer"/>
      <w:framePr w:wrap="around" w:vAnchor="text" w:hAnchor="margin" w:xAlign="outside" w:y="1"/>
    </w:pPr>
    <w:r>
      <w:fldChar w:fldCharType="begin"/>
    </w:r>
    <w:r>
      <w:instrText xml:space="preserve">PAGE  </w:instrText>
    </w:r>
    <w:r>
      <w:fldChar w:fldCharType="end"/>
    </w:r>
  </w:p>
  <w:p w14:paraId="336BD8F1" w14:textId="77777777"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B4" w14:textId="77777777"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14:paraId="7622F94B" w14:textId="77777777" w:rsidR="00644834" w:rsidRPr="00644834" w:rsidRDefault="005A1168"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14:paraId="36C2AA95" w14:textId="77777777" w:rsidR="00644834" w:rsidRPr="00644834" w:rsidRDefault="0064483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360" w14:textId="77777777" w:rsidR="005A1168" w:rsidRDefault="005A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8392" w14:textId="77777777" w:rsidR="009B52FE" w:rsidRDefault="009B52FE">
      <w:r>
        <w:separator/>
      </w:r>
    </w:p>
  </w:footnote>
  <w:footnote w:type="continuationSeparator" w:id="0">
    <w:p w14:paraId="545C4009" w14:textId="77777777" w:rsidR="009B52FE" w:rsidRDefault="009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7FC4" w14:textId="77777777"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23D53" w14:textId="77777777"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6" w:type="dxa"/>
      <w:jc w:val="center"/>
      <w:tblLayout w:type="fixed"/>
      <w:tblLook w:val="0000" w:firstRow="0" w:lastRow="0" w:firstColumn="0" w:lastColumn="0" w:noHBand="0" w:noVBand="0"/>
    </w:tblPr>
    <w:tblGrid>
      <w:gridCol w:w="3150"/>
      <w:gridCol w:w="4338"/>
      <w:gridCol w:w="3348"/>
    </w:tblGrid>
    <w:tr w:rsidR="00602BF2" w14:paraId="1CDBD74B" w14:textId="77777777" w:rsidTr="00D83103">
      <w:trPr>
        <w:cantSplit/>
        <w:jc w:val="center"/>
      </w:trPr>
      <w:tc>
        <w:tcPr>
          <w:tcW w:w="3150" w:type="dxa"/>
          <w:tcBorders>
            <w:bottom w:val="double" w:sz="6" w:space="0" w:color="auto"/>
          </w:tcBorders>
        </w:tcPr>
        <w:p w14:paraId="7B125956" w14:textId="26FBE57C" w:rsidR="00602BF2" w:rsidRDefault="00602BF2" w:rsidP="0051364C">
          <w:pPr>
            <w:pStyle w:val="Header"/>
            <w:rPr>
              <w:b/>
              <w:sz w:val="20"/>
            </w:rPr>
          </w:pPr>
          <w:r>
            <w:rPr>
              <w:b/>
              <w:sz w:val="20"/>
            </w:rPr>
            <w:t xml:space="preserve">Calendar Year </w:t>
          </w:r>
          <w:r w:rsidR="008D1D03">
            <w:rPr>
              <w:b/>
              <w:sz w:val="20"/>
            </w:rPr>
            <w:t>2023</w:t>
          </w:r>
        </w:p>
      </w:tc>
      <w:tc>
        <w:tcPr>
          <w:tcW w:w="4338" w:type="dxa"/>
          <w:tcBorders>
            <w:bottom w:val="double" w:sz="6" w:space="0" w:color="auto"/>
          </w:tcBorders>
        </w:tcPr>
        <w:p w14:paraId="09FA2CAF" w14:textId="0C55D534" w:rsidR="00602BF2" w:rsidRDefault="0051364C" w:rsidP="0051364C">
          <w:pPr>
            <w:pStyle w:val="Header"/>
            <w:jc w:val="center"/>
            <w:rPr>
              <w:b/>
              <w:sz w:val="20"/>
            </w:rPr>
          </w:pPr>
          <w:r>
            <w:rPr>
              <w:b/>
              <w:sz w:val="20"/>
            </w:rPr>
            <w:t xml:space="preserve">January 3, </w:t>
          </w:r>
          <w:r w:rsidR="008D1D03">
            <w:rPr>
              <w:b/>
              <w:sz w:val="20"/>
            </w:rPr>
            <w:t>2023</w:t>
          </w:r>
        </w:p>
      </w:tc>
      <w:tc>
        <w:tcPr>
          <w:tcW w:w="3348" w:type="dxa"/>
          <w:tcBorders>
            <w:bottom w:val="double" w:sz="6" w:space="0" w:color="auto"/>
          </w:tcBorders>
        </w:tcPr>
        <w:p w14:paraId="5D90F38A" w14:textId="769DB708" w:rsidR="00602BF2" w:rsidRDefault="00602BF2" w:rsidP="0051364C">
          <w:pPr>
            <w:pStyle w:val="Header"/>
            <w:jc w:val="right"/>
            <w:rPr>
              <w:b/>
              <w:sz w:val="20"/>
            </w:rPr>
          </w:pPr>
          <w:r>
            <w:rPr>
              <w:b/>
              <w:sz w:val="20"/>
            </w:rPr>
            <w:t xml:space="preserve">Volume </w:t>
          </w:r>
          <w:r w:rsidR="008D1D03">
            <w:rPr>
              <w:b/>
              <w:sz w:val="20"/>
            </w:rPr>
            <w:t>2023</w:t>
          </w:r>
          <w:r>
            <w:rPr>
              <w:b/>
              <w:sz w:val="20"/>
            </w:rPr>
            <w:t>-01</w:t>
          </w:r>
        </w:p>
      </w:tc>
    </w:tr>
  </w:tbl>
  <w:p w14:paraId="38DF09C6" w14:textId="77777777" w:rsidR="00602BF2" w:rsidRPr="00602BF2" w:rsidRDefault="00602BF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17D5" w14:textId="77777777" w:rsidR="005A1168" w:rsidRDefault="005A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4E53D2"/>
    <w:multiLevelType w:val="singleLevel"/>
    <w:tmpl w:val="FFFFFFFF"/>
    <w:lvl w:ilvl="0">
      <w:numFmt w:val="decimal"/>
      <w:lvlText w:val="*"/>
      <w:lvlJc w:val="left"/>
    </w:lvl>
  </w:abstractNum>
  <w:abstractNum w:abstractNumId="4"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4"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9"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24"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1"/>
  </w:num>
  <w:num w:numId="4">
    <w:abstractNumId w:val="17"/>
  </w:num>
  <w:num w:numId="5">
    <w:abstractNumId w:val="11"/>
  </w:num>
  <w:num w:numId="6">
    <w:abstractNumId w:val="18"/>
  </w:num>
  <w:num w:numId="7">
    <w:abstractNumId w:val="13"/>
  </w:num>
  <w:num w:numId="8">
    <w:abstractNumId w:val="21"/>
  </w:num>
  <w:num w:numId="9">
    <w:abstractNumId w:val="5"/>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7"/>
  </w:num>
  <w:num w:numId="12">
    <w:abstractNumId w:val="16"/>
  </w:num>
  <w:num w:numId="13">
    <w:abstractNumId w:val="10"/>
  </w:num>
  <w:num w:numId="14">
    <w:abstractNumId w:val="19"/>
  </w:num>
  <w:num w:numId="15">
    <w:abstractNumId w:val="6"/>
  </w:num>
  <w:num w:numId="16">
    <w:abstractNumId w:val="12"/>
  </w:num>
  <w:num w:numId="17">
    <w:abstractNumId w:val="14"/>
  </w:num>
  <w:num w:numId="18">
    <w:abstractNumId w:val="22"/>
  </w:num>
  <w:num w:numId="19">
    <w:abstractNumId w:val="4"/>
  </w:num>
  <w:num w:numId="20">
    <w:abstractNumId w:val="8"/>
  </w:num>
  <w:num w:numId="21">
    <w:abstractNumId w:val="3"/>
  </w:num>
  <w:num w:numId="22">
    <w:abstractNumId w:val="2"/>
  </w:num>
  <w:num w:numId="23">
    <w:abstractNumId w:val="20"/>
  </w:num>
  <w:num w:numId="24">
    <w:abstractNumId w:val="9"/>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78"/>
    <w:rsid w:val="0000074E"/>
    <w:rsid w:val="00003103"/>
    <w:rsid w:val="00003CAF"/>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2E65"/>
    <w:rsid w:val="00025124"/>
    <w:rsid w:val="00025A23"/>
    <w:rsid w:val="00025DE1"/>
    <w:rsid w:val="00026A18"/>
    <w:rsid w:val="00026AF7"/>
    <w:rsid w:val="00026DA8"/>
    <w:rsid w:val="00026F3C"/>
    <w:rsid w:val="0002738B"/>
    <w:rsid w:val="00030D4F"/>
    <w:rsid w:val="00032753"/>
    <w:rsid w:val="00032FF0"/>
    <w:rsid w:val="00033B6E"/>
    <w:rsid w:val="00033FE4"/>
    <w:rsid w:val="00035FF5"/>
    <w:rsid w:val="00036F09"/>
    <w:rsid w:val="0003720A"/>
    <w:rsid w:val="00041E4D"/>
    <w:rsid w:val="00043BD6"/>
    <w:rsid w:val="00052092"/>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84FB2"/>
    <w:rsid w:val="00090DC4"/>
    <w:rsid w:val="0009233A"/>
    <w:rsid w:val="000938E2"/>
    <w:rsid w:val="00093E24"/>
    <w:rsid w:val="000965D1"/>
    <w:rsid w:val="00097EFC"/>
    <w:rsid w:val="000A1F6D"/>
    <w:rsid w:val="000A3698"/>
    <w:rsid w:val="000A3E0D"/>
    <w:rsid w:val="000A4C50"/>
    <w:rsid w:val="000A6E0B"/>
    <w:rsid w:val="000A7FB1"/>
    <w:rsid w:val="000C0BC3"/>
    <w:rsid w:val="000C334C"/>
    <w:rsid w:val="000C7D99"/>
    <w:rsid w:val="000C7F43"/>
    <w:rsid w:val="000D0C78"/>
    <w:rsid w:val="000D13C1"/>
    <w:rsid w:val="000D2200"/>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23DA"/>
    <w:rsid w:val="00113353"/>
    <w:rsid w:val="0011461F"/>
    <w:rsid w:val="001155EA"/>
    <w:rsid w:val="001157CD"/>
    <w:rsid w:val="001218E1"/>
    <w:rsid w:val="00126FD0"/>
    <w:rsid w:val="001272EA"/>
    <w:rsid w:val="001306C9"/>
    <w:rsid w:val="0013372D"/>
    <w:rsid w:val="001339B9"/>
    <w:rsid w:val="0013613F"/>
    <w:rsid w:val="00137AFC"/>
    <w:rsid w:val="00137D8A"/>
    <w:rsid w:val="00141CB9"/>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6935"/>
    <w:rsid w:val="00177542"/>
    <w:rsid w:val="00177BE0"/>
    <w:rsid w:val="001804FE"/>
    <w:rsid w:val="001834DC"/>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46F2"/>
    <w:rsid w:val="001A5460"/>
    <w:rsid w:val="001A5F5E"/>
    <w:rsid w:val="001A7435"/>
    <w:rsid w:val="001B0D2B"/>
    <w:rsid w:val="001B2198"/>
    <w:rsid w:val="001B44D4"/>
    <w:rsid w:val="001B54CF"/>
    <w:rsid w:val="001B5BF4"/>
    <w:rsid w:val="001B6DCB"/>
    <w:rsid w:val="001C25AA"/>
    <w:rsid w:val="001C3492"/>
    <w:rsid w:val="001C3E49"/>
    <w:rsid w:val="001C4480"/>
    <w:rsid w:val="001C5525"/>
    <w:rsid w:val="001C6905"/>
    <w:rsid w:val="001C7F7C"/>
    <w:rsid w:val="001D1BAB"/>
    <w:rsid w:val="001D3D94"/>
    <w:rsid w:val="001D4216"/>
    <w:rsid w:val="001D48AB"/>
    <w:rsid w:val="001D5D4A"/>
    <w:rsid w:val="001D65EC"/>
    <w:rsid w:val="001D79E3"/>
    <w:rsid w:val="001E07BF"/>
    <w:rsid w:val="001E2F30"/>
    <w:rsid w:val="001E3C96"/>
    <w:rsid w:val="001E3DF9"/>
    <w:rsid w:val="001E4485"/>
    <w:rsid w:val="001E45D3"/>
    <w:rsid w:val="001E5A80"/>
    <w:rsid w:val="001E690E"/>
    <w:rsid w:val="001E782C"/>
    <w:rsid w:val="001F6F3E"/>
    <w:rsid w:val="002004BF"/>
    <w:rsid w:val="00200C63"/>
    <w:rsid w:val="00201537"/>
    <w:rsid w:val="002030B8"/>
    <w:rsid w:val="002050EE"/>
    <w:rsid w:val="0020553E"/>
    <w:rsid w:val="002066C6"/>
    <w:rsid w:val="00207341"/>
    <w:rsid w:val="00207347"/>
    <w:rsid w:val="00211354"/>
    <w:rsid w:val="00212EA4"/>
    <w:rsid w:val="002203B3"/>
    <w:rsid w:val="002222DE"/>
    <w:rsid w:val="00224F21"/>
    <w:rsid w:val="00225230"/>
    <w:rsid w:val="0022524D"/>
    <w:rsid w:val="0022655D"/>
    <w:rsid w:val="00226ACE"/>
    <w:rsid w:val="0022743B"/>
    <w:rsid w:val="0023247F"/>
    <w:rsid w:val="002325BD"/>
    <w:rsid w:val="0023649B"/>
    <w:rsid w:val="00240A9F"/>
    <w:rsid w:val="0024291C"/>
    <w:rsid w:val="002467FB"/>
    <w:rsid w:val="002479EA"/>
    <w:rsid w:val="00251AF5"/>
    <w:rsid w:val="00253E46"/>
    <w:rsid w:val="00253EB4"/>
    <w:rsid w:val="00255A59"/>
    <w:rsid w:val="00257D48"/>
    <w:rsid w:val="00260246"/>
    <w:rsid w:val="00260C0B"/>
    <w:rsid w:val="00264A79"/>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3C48"/>
    <w:rsid w:val="00295817"/>
    <w:rsid w:val="002960E4"/>
    <w:rsid w:val="00297A16"/>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3AAD"/>
    <w:rsid w:val="002E3B6D"/>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0F26"/>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6362"/>
    <w:rsid w:val="00396BAC"/>
    <w:rsid w:val="00397195"/>
    <w:rsid w:val="003A0D4D"/>
    <w:rsid w:val="003A1E02"/>
    <w:rsid w:val="003A2147"/>
    <w:rsid w:val="003A316A"/>
    <w:rsid w:val="003A3E08"/>
    <w:rsid w:val="003A5189"/>
    <w:rsid w:val="003A6276"/>
    <w:rsid w:val="003A6AF5"/>
    <w:rsid w:val="003A6E79"/>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27B14"/>
    <w:rsid w:val="0043000F"/>
    <w:rsid w:val="00432A69"/>
    <w:rsid w:val="00433EE5"/>
    <w:rsid w:val="004347E2"/>
    <w:rsid w:val="00436D2F"/>
    <w:rsid w:val="004420B1"/>
    <w:rsid w:val="00444A95"/>
    <w:rsid w:val="00444E79"/>
    <w:rsid w:val="00445CB1"/>
    <w:rsid w:val="004465A3"/>
    <w:rsid w:val="00451DF2"/>
    <w:rsid w:val="0045604E"/>
    <w:rsid w:val="00460A7C"/>
    <w:rsid w:val="00461699"/>
    <w:rsid w:val="00461F84"/>
    <w:rsid w:val="00462C21"/>
    <w:rsid w:val="0046369B"/>
    <w:rsid w:val="00465274"/>
    <w:rsid w:val="00467C81"/>
    <w:rsid w:val="004712DD"/>
    <w:rsid w:val="004726E5"/>
    <w:rsid w:val="00472B0C"/>
    <w:rsid w:val="00474FFE"/>
    <w:rsid w:val="0047514D"/>
    <w:rsid w:val="00475DAA"/>
    <w:rsid w:val="00476E81"/>
    <w:rsid w:val="00477FA0"/>
    <w:rsid w:val="0048234B"/>
    <w:rsid w:val="00482502"/>
    <w:rsid w:val="00484EC3"/>
    <w:rsid w:val="00484FE7"/>
    <w:rsid w:val="00486F48"/>
    <w:rsid w:val="0049088D"/>
    <w:rsid w:val="00491544"/>
    <w:rsid w:val="004926B7"/>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ED8"/>
    <w:rsid w:val="004C2F9D"/>
    <w:rsid w:val="004C387D"/>
    <w:rsid w:val="004C4103"/>
    <w:rsid w:val="004C7CC0"/>
    <w:rsid w:val="004D2554"/>
    <w:rsid w:val="004D3867"/>
    <w:rsid w:val="004D60C0"/>
    <w:rsid w:val="004E3EE8"/>
    <w:rsid w:val="004E511C"/>
    <w:rsid w:val="004E7ACE"/>
    <w:rsid w:val="004F0E2D"/>
    <w:rsid w:val="004F3899"/>
    <w:rsid w:val="004F4591"/>
    <w:rsid w:val="00502831"/>
    <w:rsid w:val="00503FE8"/>
    <w:rsid w:val="00504D6B"/>
    <w:rsid w:val="005060ED"/>
    <w:rsid w:val="005063A8"/>
    <w:rsid w:val="00506530"/>
    <w:rsid w:val="00507FC4"/>
    <w:rsid w:val="005107E5"/>
    <w:rsid w:val="00510FF0"/>
    <w:rsid w:val="00512DE0"/>
    <w:rsid w:val="0051364C"/>
    <w:rsid w:val="00514AB9"/>
    <w:rsid w:val="005154ED"/>
    <w:rsid w:val="00515DBB"/>
    <w:rsid w:val="00516186"/>
    <w:rsid w:val="0051721F"/>
    <w:rsid w:val="005173DB"/>
    <w:rsid w:val="005204D7"/>
    <w:rsid w:val="005214B7"/>
    <w:rsid w:val="0052269D"/>
    <w:rsid w:val="00522BE9"/>
    <w:rsid w:val="0052320B"/>
    <w:rsid w:val="00525311"/>
    <w:rsid w:val="005257B0"/>
    <w:rsid w:val="00526E4C"/>
    <w:rsid w:val="0053163A"/>
    <w:rsid w:val="005326E0"/>
    <w:rsid w:val="00532D2C"/>
    <w:rsid w:val="00532D86"/>
    <w:rsid w:val="00533735"/>
    <w:rsid w:val="00534293"/>
    <w:rsid w:val="0053541A"/>
    <w:rsid w:val="005355A3"/>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42C7"/>
    <w:rsid w:val="00595B40"/>
    <w:rsid w:val="00595E44"/>
    <w:rsid w:val="005A0EA6"/>
    <w:rsid w:val="005A0FAA"/>
    <w:rsid w:val="005A1157"/>
    <w:rsid w:val="005A1168"/>
    <w:rsid w:val="005A1B43"/>
    <w:rsid w:val="005A2D48"/>
    <w:rsid w:val="005A2EF4"/>
    <w:rsid w:val="005A3930"/>
    <w:rsid w:val="005B2162"/>
    <w:rsid w:val="005B35F6"/>
    <w:rsid w:val="005B4423"/>
    <w:rsid w:val="005B526D"/>
    <w:rsid w:val="005B69A1"/>
    <w:rsid w:val="005C1612"/>
    <w:rsid w:val="005C25D7"/>
    <w:rsid w:val="005C2E08"/>
    <w:rsid w:val="005C3623"/>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0B28"/>
    <w:rsid w:val="00601279"/>
    <w:rsid w:val="00601BAE"/>
    <w:rsid w:val="006025E7"/>
    <w:rsid w:val="00602BF2"/>
    <w:rsid w:val="00602D5C"/>
    <w:rsid w:val="00605949"/>
    <w:rsid w:val="00607BA3"/>
    <w:rsid w:val="006128CC"/>
    <w:rsid w:val="00613992"/>
    <w:rsid w:val="00614F99"/>
    <w:rsid w:val="006160BC"/>
    <w:rsid w:val="006161B7"/>
    <w:rsid w:val="00621BDD"/>
    <w:rsid w:val="00623B94"/>
    <w:rsid w:val="006315B6"/>
    <w:rsid w:val="00633442"/>
    <w:rsid w:val="00633EE7"/>
    <w:rsid w:val="00634B06"/>
    <w:rsid w:val="0063606D"/>
    <w:rsid w:val="006365EF"/>
    <w:rsid w:val="00640E32"/>
    <w:rsid w:val="00642666"/>
    <w:rsid w:val="00642CCF"/>
    <w:rsid w:val="006442B0"/>
    <w:rsid w:val="00644834"/>
    <w:rsid w:val="0064532E"/>
    <w:rsid w:val="00645ECC"/>
    <w:rsid w:val="006521FB"/>
    <w:rsid w:val="00653351"/>
    <w:rsid w:val="00656C2C"/>
    <w:rsid w:val="00657AA8"/>
    <w:rsid w:val="00661499"/>
    <w:rsid w:val="00663266"/>
    <w:rsid w:val="00665DEC"/>
    <w:rsid w:val="006669F6"/>
    <w:rsid w:val="00667B99"/>
    <w:rsid w:val="00667E72"/>
    <w:rsid w:val="006708E9"/>
    <w:rsid w:val="0067449B"/>
    <w:rsid w:val="0067527F"/>
    <w:rsid w:val="00675343"/>
    <w:rsid w:val="006779A5"/>
    <w:rsid w:val="0068257B"/>
    <w:rsid w:val="00682B95"/>
    <w:rsid w:val="00682E25"/>
    <w:rsid w:val="00683AC0"/>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D14EA"/>
    <w:rsid w:val="006D2934"/>
    <w:rsid w:val="006D358B"/>
    <w:rsid w:val="006D35F4"/>
    <w:rsid w:val="006D401A"/>
    <w:rsid w:val="006D791B"/>
    <w:rsid w:val="006D7DCF"/>
    <w:rsid w:val="006E2BC4"/>
    <w:rsid w:val="006E36AA"/>
    <w:rsid w:val="006E39C8"/>
    <w:rsid w:val="006E541A"/>
    <w:rsid w:val="006E7D41"/>
    <w:rsid w:val="006F4552"/>
    <w:rsid w:val="006F5413"/>
    <w:rsid w:val="006F5E84"/>
    <w:rsid w:val="006F7AED"/>
    <w:rsid w:val="00700615"/>
    <w:rsid w:val="00704A27"/>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57CAC"/>
    <w:rsid w:val="00760730"/>
    <w:rsid w:val="00760AAA"/>
    <w:rsid w:val="007621FC"/>
    <w:rsid w:val="0076423C"/>
    <w:rsid w:val="007652ED"/>
    <w:rsid w:val="00766669"/>
    <w:rsid w:val="00767E38"/>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61E"/>
    <w:rsid w:val="007A48E3"/>
    <w:rsid w:val="007A709B"/>
    <w:rsid w:val="007B079E"/>
    <w:rsid w:val="007B141D"/>
    <w:rsid w:val="007B1EBA"/>
    <w:rsid w:val="007B27D8"/>
    <w:rsid w:val="007B3487"/>
    <w:rsid w:val="007B586D"/>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501C4"/>
    <w:rsid w:val="00851555"/>
    <w:rsid w:val="0085170D"/>
    <w:rsid w:val="00852132"/>
    <w:rsid w:val="00853621"/>
    <w:rsid w:val="00855EA4"/>
    <w:rsid w:val="008605E3"/>
    <w:rsid w:val="00863C60"/>
    <w:rsid w:val="00865818"/>
    <w:rsid w:val="00870A71"/>
    <w:rsid w:val="008727A1"/>
    <w:rsid w:val="008769B7"/>
    <w:rsid w:val="00877F06"/>
    <w:rsid w:val="00881695"/>
    <w:rsid w:val="008818E3"/>
    <w:rsid w:val="0088495E"/>
    <w:rsid w:val="0088574B"/>
    <w:rsid w:val="008869DA"/>
    <w:rsid w:val="008875AE"/>
    <w:rsid w:val="008918EE"/>
    <w:rsid w:val="00892D9C"/>
    <w:rsid w:val="00893581"/>
    <w:rsid w:val="008974BE"/>
    <w:rsid w:val="00897530"/>
    <w:rsid w:val="008A0380"/>
    <w:rsid w:val="008A0C0D"/>
    <w:rsid w:val="008A16C7"/>
    <w:rsid w:val="008A176F"/>
    <w:rsid w:val="008A2BC2"/>
    <w:rsid w:val="008A60DD"/>
    <w:rsid w:val="008A6D5A"/>
    <w:rsid w:val="008B14F0"/>
    <w:rsid w:val="008B38DE"/>
    <w:rsid w:val="008B4997"/>
    <w:rsid w:val="008B4FCC"/>
    <w:rsid w:val="008B6B6F"/>
    <w:rsid w:val="008B6D9E"/>
    <w:rsid w:val="008B6F89"/>
    <w:rsid w:val="008B7DBA"/>
    <w:rsid w:val="008C561B"/>
    <w:rsid w:val="008C61A8"/>
    <w:rsid w:val="008C7441"/>
    <w:rsid w:val="008D0847"/>
    <w:rsid w:val="008D1D03"/>
    <w:rsid w:val="008D5F83"/>
    <w:rsid w:val="008D6D75"/>
    <w:rsid w:val="008D7CD7"/>
    <w:rsid w:val="008E103E"/>
    <w:rsid w:val="008E2E73"/>
    <w:rsid w:val="008E49E2"/>
    <w:rsid w:val="008E4EE7"/>
    <w:rsid w:val="008E69F6"/>
    <w:rsid w:val="008E6B2A"/>
    <w:rsid w:val="008F016E"/>
    <w:rsid w:val="008F06BF"/>
    <w:rsid w:val="008F0ACB"/>
    <w:rsid w:val="008F2239"/>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393C"/>
    <w:rsid w:val="009245E1"/>
    <w:rsid w:val="0092483B"/>
    <w:rsid w:val="009265E3"/>
    <w:rsid w:val="00926F5B"/>
    <w:rsid w:val="00936711"/>
    <w:rsid w:val="00941FDD"/>
    <w:rsid w:val="00942AFD"/>
    <w:rsid w:val="00945350"/>
    <w:rsid w:val="0094549D"/>
    <w:rsid w:val="00945C93"/>
    <w:rsid w:val="00946232"/>
    <w:rsid w:val="00946683"/>
    <w:rsid w:val="00946925"/>
    <w:rsid w:val="00947E1E"/>
    <w:rsid w:val="009524D3"/>
    <w:rsid w:val="00952E11"/>
    <w:rsid w:val="00952FC4"/>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28C0"/>
    <w:rsid w:val="00993675"/>
    <w:rsid w:val="00993D57"/>
    <w:rsid w:val="00994669"/>
    <w:rsid w:val="00995CFE"/>
    <w:rsid w:val="009960A6"/>
    <w:rsid w:val="00996649"/>
    <w:rsid w:val="0099703C"/>
    <w:rsid w:val="009A4EE8"/>
    <w:rsid w:val="009B2FB7"/>
    <w:rsid w:val="009B32BC"/>
    <w:rsid w:val="009B49DE"/>
    <w:rsid w:val="009B52FE"/>
    <w:rsid w:val="009B699E"/>
    <w:rsid w:val="009B7277"/>
    <w:rsid w:val="009B7AEC"/>
    <w:rsid w:val="009C1916"/>
    <w:rsid w:val="009C5984"/>
    <w:rsid w:val="009C6076"/>
    <w:rsid w:val="009C7312"/>
    <w:rsid w:val="009C741E"/>
    <w:rsid w:val="009D040A"/>
    <w:rsid w:val="009D0707"/>
    <w:rsid w:val="009D3362"/>
    <w:rsid w:val="009D6152"/>
    <w:rsid w:val="009D6813"/>
    <w:rsid w:val="009D7812"/>
    <w:rsid w:val="009E01AD"/>
    <w:rsid w:val="009E35C8"/>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5B0"/>
    <w:rsid w:val="00A05CE2"/>
    <w:rsid w:val="00A06C4A"/>
    <w:rsid w:val="00A10D01"/>
    <w:rsid w:val="00A10E3B"/>
    <w:rsid w:val="00A10FB0"/>
    <w:rsid w:val="00A11DB7"/>
    <w:rsid w:val="00A135B6"/>
    <w:rsid w:val="00A13B4D"/>
    <w:rsid w:val="00A14DC8"/>
    <w:rsid w:val="00A1754F"/>
    <w:rsid w:val="00A17554"/>
    <w:rsid w:val="00A2327D"/>
    <w:rsid w:val="00A23590"/>
    <w:rsid w:val="00A23848"/>
    <w:rsid w:val="00A27A2C"/>
    <w:rsid w:val="00A31890"/>
    <w:rsid w:val="00A32E04"/>
    <w:rsid w:val="00A33A86"/>
    <w:rsid w:val="00A3535B"/>
    <w:rsid w:val="00A35E36"/>
    <w:rsid w:val="00A3637D"/>
    <w:rsid w:val="00A36A5E"/>
    <w:rsid w:val="00A36DBC"/>
    <w:rsid w:val="00A37CFD"/>
    <w:rsid w:val="00A40738"/>
    <w:rsid w:val="00A413AE"/>
    <w:rsid w:val="00A436E4"/>
    <w:rsid w:val="00A45290"/>
    <w:rsid w:val="00A51533"/>
    <w:rsid w:val="00A53076"/>
    <w:rsid w:val="00A53209"/>
    <w:rsid w:val="00A5635D"/>
    <w:rsid w:val="00A61582"/>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9C"/>
    <w:rsid w:val="00AA64D0"/>
    <w:rsid w:val="00AB0199"/>
    <w:rsid w:val="00AB148F"/>
    <w:rsid w:val="00AB175C"/>
    <w:rsid w:val="00AB7A14"/>
    <w:rsid w:val="00AB7F8E"/>
    <w:rsid w:val="00AC1F8F"/>
    <w:rsid w:val="00AC79B3"/>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0EF"/>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4227"/>
    <w:rsid w:val="00B65131"/>
    <w:rsid w:val="00B65619"/>
    <w:rsid w:val="00B6605D"/>
    <w:rsid w:val="00B70C06"/>
    <w:rsid w:val="00B71198"/>
    <w:rsid w:val="00B77559"/>
    <w:rsid w:val="00B804B4"/>
    <w:rsid w:val="00B82F09"/>
    <w:rsid w:val="00B83731"/>
    <w:rsid w:val="00B84234"/>
    <w:rsid w:val="00B84CB0"/>
    <w:rsid w:val="00B85F21"/>
    <w:rsid w:val="00B87D23"/>
    <w:rsid w:val="00B917D8"/>
    <w:rsid w:val="00B92FC2"/>
    <w:rsid w:val="00B9398E"/>
    <w:rsid w:val="00B9486F"/>
    <w:rsid w:val="00B95EB3"/>
    <w:rsid w:val="00B97A98"/>
    <w:rsid w:val="00B97CF7"/>
    <w:rsid w:val="00BA0A2C"/>
    <w:rsid w:val="00BA4460"/>
    <w:rsid w:val="00BA4ECD"/>
    <w:rsid w:val="00BA75BC"/>
    <w:rsid w:val="00BB026E"/>
    <w:rsid w:val="00BB3E58"/>
    <w:rsid w:val="00BB3E61"/>
    <w:rsid w:val="00BB4A87"/>
    <w:rsid w:val="00BB6D97"/>
    <w:rsid w:val="00BB7334"/>
    <w:rsid w:val="00BC06B5"/>
    <w:rsid w:val="00BC0AFE"/>
    <w:rsid w:val="00BC2886"/>
    <w:rsid w:val="00BC507E"/>
    <w:rsid w:val="00BC651B"/>
    <w:rsid w:val="00BC7113"/>
    <w:rsid w:val="00BC7ED4"/>
    <w:rsid w:val="00BD1656"/>
    <w:rsid w:val="00BD17E5"/>
    <w:rsid w:val="00BD5D50"/>
    <w:rsid w:val="00BD72D3"/>
    <w:rsid w:val="00BE01F2"/>
    <w:rsid w:val="00BE2A26"/>
    <w:rsid w:val="00BE3613"/>
    <w:rsid w:val="00BE3B4C"/>
    <w:rsid w:val="00BE3F1A"/>
    <w:rsid w:val="00BE4A30"/>
    <w:rsid w:val="00BE5366"/>
    <w:rsid w:val="00BE6767"/>
    <w:rsid w:val="00BF01AC"/>
    <w:rsid w:val="00BF2582"/>
    <w:rsid w:val="00BF2C9E"/>
    <w:rsid w:val="00BF60C0"/>
    <w:rsid w:val="00BF650D"/>
    <w:rsid w:val="00C01C1B"/>
    <w:rsid w:val="00C03D4C"/>
    <w:rsid w:val="00C063FD"/>
    <w:rsid w:val="00C06428"/>
    <w:rsid w:val="00C16D41"/>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2160"/>
    <w:rsid w:val="00C82531"/>
    <w:rsid w:val="00C82AC3"/>
    <w:rsid w:val="00C8556A"/>
    <w:rsid w:val="00C906F2"/>
    <w:rsid w:val="00C925B4"/>
    <w:rsid w:val="00C92DE6"/>
    <w:rsid w:val="00C96804"/>
    <w:rsid w:val="00C97EE9"/>
    <w:rsid w:val="00CA0CC5"/>
    <w:rsid w:val="00CA1F76"/>
    <w:rsid w:val="00CA2247"/>
    <w:rsid w:val="00CA4E7C"/>
    <w:rsid w:val="00CA5CB7"/>
    <w:rsid w:val="00CB09DE"/>
    <w:rsid w:val="00CB0C64"/>
    <w:rsid w:val="00CB18F3"/>
    <w:rsid w:val="00CB1B39"/>
    <w:rsid w:val="00CB74E1"/>
    <w:rsid w:val="00CC07C3"/>
    <w:rsid w:val="00CC43A4"/>
    <w:rsid w:val="00CC51FE"/>
    <w:rsid w:val="00CC6696"/>
    <w:rsid w:val="00CD0720"/>
    <w:rsid w:val="00CD13B8"/>
    <w:rsid w:val="00CD27FE"/>
    <w:rsid w:val="00CD3418"/>
    <w:rsid w:val="00CD3D47"/>
    <w:rsid w:val="00CD47F5"/>
    <w:rsid w:val="00CE1657"/>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D35"/>
    <w:rsid w:val="00D23DB3"/>
    <w:rsid w:val="00D23F49"/>
    <w:rsid w:val="00D3062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560BD"/>
    <w:rsid w:val="00D60913"/>
    <w:rsid w:val="00D62751"/>
    <w:rsid w:val="00D62B0F"/>
    <w:rsid w:val="00D707B0"/>
    <w:rsid w:val="00D7246A"/>
    <w:rsid w:val="00D7258A"/>
    <w:rsid w:val="00D72844"/>
    <w:rsid w:val="00D73FB7"/>
    <w:rsid w:val="00D75408"/>
    <w:rsid w:val="00D776BB"/>
    <w:rsid w:val="00D80037"/>
    <w:rsid w:val="00D814ED"/>
    <w:rsid w:val="00D81887"/>
    <w:rsid w:val="00D82CFD"/>
    <w:rsid w:val="00D831F8"/>
    <w:rsid w:val="00D832CD"/>
    <w:rsid w:val="00D83AF0"/>
    <w:rsid w:val="00D83D6B"/>
    <w:rsid w:val="00D84510"/>
    <w:rsid w:val="00D847C4"/>
    <w:rsid w:val="00D85333"/>
    <w:rsid w:val="00D85789"/>
    <w:rsid w:val="00D86100"/>
    <w:rsid w:val="00D86956"/>
    <w:rsid w:val="00D86A0D"/>
    <w:rsid w:val="00D8768A"/>
    <w:rsid w:val="00D91153"/>
    <w:rsid w:val="00D91195"/>
    <w:rsid w:val="00D91CF8"/>
    <w:rsid w:val="00D9247E"/>
    <w:rsid w:val="00D93B92"/>
    <w:rsid w:val="00D9643F"/>
    <w:rsid w:val="00D96447"/>
    <w:rsid w:val="00D96E2A"/>
    <w:rsid w:val="00D96FEF"/>
    <w:rsid w:val="00D974C0"/>
    <w:rsid w:val="00D97AF6"/>
    <w:rsid w:val="00DA2515"/>
    <w:rsid w:val="00DA4DC5"/>
    <w:rsid w:val="00DA5D86"/>
    <w:rsid w:val="00DB0613"/>
    <w:rsid w:val="00DB1336"/>
    <w:rsid w:val="00DB5A1A"/>
    <w:rsid w:val="00DB7685"/>
    <w:rsid w:val="00DC0359"/>
    <w:rsid w:val="00DC0F0B"/>
    <w:rsid w:val="00DC13ED"/>
    <w:rsid w:val="00DC19D2"/>
    <w:rsid w:val="00DC3D4B"/>
    <w:rsid w:val="00DC4F5A"/>
    <w:rsid w:val="00DC71AE"/>
    <w:rsid w:val="00DD03F7"/>
    <w:rsid w:val="00DD0A64"/>
    <w:rsid w:val="00DD0A76"/>
    <w:rsid w:val="00DD1147"/>
    <w:rsid w:val="00DD1A6E"/>
    <w:rsid w:val="00DD3CA6"/>
    <w:rsid w:val="00DD41D6"/>
    <w:rsid w:val="00DD4FBB"/>
    <w:rsid w:val="00DD5131"/>
    <w:rsid w:val="00DD5F56"/>
    <w:rsid w:val="00DD63F2"/>
    <w:rsid w:val="00DE052B"/>
    <w:rsid w:val="00DE3259"/>
    <w:rsid w:val="00DE36B4"/>
    <w:rsid w:val="00DE3D53"/>
    <w:rsid w:val="00DE447E"/>
    <w:rsid w:val="00DE54E8"/>
    <w:rsid w:val="00DE6330"/>
    <w:rsid w:val="00DE71AE"/>
    <w:rsid w:val="00DF01E6"/>
    <w:rsid w:val="00DF4A9A"/>
    <w:rsid w:val="00DF51F0"/>
    <w:rsid w:val="00DF72C1"/>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4000C"/>
    <w:rsid w:val="00E41103"/>
    <w:rsid w:val="00E43254"/>
    <w:rsid w:val="00E44673"/>
    <w:rsid w:val="00E45CC7"/>
    <w:rsid w:val="00E46605"/>
    <w:rsid w:val="00E476D3"/>
    <w:rsid w:val="00E50D2B"/>
    <w:rsid w:val="00E512E0"/>
    <w:rsid w:val="00E53704"/>
    <w:rsid w:val="00E53A83"/>
    <w:rsid w:val="00E53BDC"/>
    <w:rsid w:val="00E54891"/>
    <w:rsid w:val="00E54A94"/>
    <w:rsid w:val="00E55473"/>
    <w:rsid w:val="00E60973"/>
    <w:rsid w:val="00E6131F"/>
    <w:rsid w:val="00E6291F"/>
    <w:rsid w:val="00E62ED3"/>
    <w:rsid w:val="00E62F0F"/>
    <w:rsid w:val="00E62F8C"/>
    <w:rsid w:val="00E66570"/>
    <w:rsid w:val="00E6665A"/>
    <w:rsid w:val="00E67829"/>
    <w:rsid w:val="00E7061A"/>
    <w:rsid w:val="00E74A9B"/>
    <w:rsid w:val="00E76A2A"/>
    <w:rsid w:val="00E77B9C"/>
    <w:rsid w:val="00E80F5F"/>
    <w:rsid w:val="00E818E7"/>
    <w:rsid w:val="00E8461F"/>
    <w:rsid w:val="00E853F0"/>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3E98"/>
    <w:rsid w:val="00EA6D2A"/>
    <w:rsid w:val="00EB1EF4"/>
    <w:rsid w:val="00EB59AC"/>
    <w:rsid w:val="00EC1EB1"/>
    <w:rsid w:val="00ED068C"/>
    <w:rsid w:val="00ED10A5"/>
    <w:rsid w:val="00ED17F3"/>
    <w:rsid w:val="00ED1B45"/>
    <w:rsid w:val="00ED1D0A"/>
    <w:rsid w:val="00ED5A68"/>
    <w:rsid w:val="00ED70DA"/>
    <w:rsid w:val="00EE08FD"/>
    <w:rsid w:val="00EE1197"/>
    <w:rsid w:val="00EE3967"/>
    <w:rsid w:val="00EE6BAE"/>
    <w:rsid w:val="00EE79AA"/>
    <w:rsid w:val="00EF2A29"/>
    <w:rsid w:val="00EF2AB8"/>
    <w:rsid w:val="00EF2AD3"/>
    <w:rsid w:val="00EF2DED"/>
    <w:rsid w:val="00EF4A66"/>
    <w:rsid w:val="00EF4E6B"/>
    <w:rsid w:val="00EF5217"/>
    <w:rsid w:val="00EF6516"/>
    <w:rsid w:val="00EF7848"/>
    <w:rsid w:val="00F02760"/>
    <w:rsid w:val="00F1048F"/>
    <w:rsid w:val="00F12145"/>
    <w:rsid w:val="00F140AE"/>
    <w:rsid w:val="00F177F7"/>
    <w:rsid w:val="00F17864"/>
    <w:rsid w:val="00F22B1C"/>
    <w:rsid w:val="00F230BB"/>
    <w:rsid w:val="00F237D2"/>
    <w:rsid w:val="00F24F0D"/>
    <w:rsid w:val="00F25627"/>
    <w:rsid w:val="00F26CB6"/>
    <w:rsid w:val="00F2763F"/>
    <w:rsid w:val="00F30214"/>
    <w:rsid w:val="00F30747"/>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65C63"/>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C1"/>
    <w:rsid w:val="00F95DA3"/>
    <w:rsid w:val="00FA0DBF"/>
    <w:rsid w:val="00FA251B"/>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9948E3F"/>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 w:type="character" w:styleId="UnresolvedMention">
    <w:name w:val="Unresolved Mention"/>
    <w:basedOn w:val="DefaultParagraphFont"/>
    <w:uiPriority w:val="99"/>
    <w:semiHidden/>
    <w:unhideWhenUsed/>
    <w:rsid w:val="00B7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employer/critical.htm" TargetMode="External"/><Relationship Id="rId18" Type="http://schemas.openxmlformats.org/officeDocument/2006/relationships/hyperlink" Target="mailto:Stacy.Taylor@doa.virgini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my.Barbour@doa.virginia.gov" TargetMode="External"/><Relationship Id="rId7" Type="http://schemas.openxmlformats.org/officeDocument/2006/relationships/footnotes" Target="footnotes.xml"/><Relationship Id="rId12" Type="http://schemas.openxmlformats.org/officeDocument/2006/relationships/hyperlink" Target="https://law.lis.virginia.gov/vacode/title40.1/chapter3/section40.1-28.10/" TargetMode="External"/><Relationship Id="rId17" Type="http://schemas.openxmlformats.org/officeDocument/2006/relationships/hyperlink" Target="mailto:Payroll@DOA.Virginia.GOV" TargetMode="External"/><Relationship Id="rId25" Type="http://schemas.openxmlformats.org/officeDocument/2006/relationships/hyperlink" Target="mailto:payroll@doa.virgini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a.virginia.gov/reference/payroll/" TargetMode="External"/><Relationship Id="rId20" Type="http://schemas.openxmlformats.org/officeDocument/2006/relationships/hyperlink" Target="mailto:Valerie.dunmars@doa.virgini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pdf/p15.pdf" TargetMode="External"/><Relationship Id="rId24" Type="http://schemas.openxmlformats.org/officeDocument/2006/relationships/hyperlink" Target="mailto:Cathy.McGill@doa.virgini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gov/news/press-releases/biden-harris-administration-continues-fight-student-debt-relief-millions-borrowers-extends-student-loan-repayment-pause" TargetMode="External"/><Relationship Id="rId23" Type="http://schemas.openxmlformats.org/officeDocument/2006/relationships/hyperlink" Target="mailto:Carmelita.holmes@doa.virginia.gov" TargetMode="External"/><Relationship Id="rId28" Type="http://schemas.openxmlformats.org/officeDocument/2006/relationships/footer" Target="footer1.xml"/><Relationship Id="rId10" Type="http://schemas.openxmlformats.org/officeDocument/2006/relationships/hyperlink" Target="https://www.irs.gov/forms-instructions" TargetMode="External"/><Relationship Id="rId19" Type="http://schemas.openxmlformats.org/officeDocument/2006/relationships/hyperlink" Target="mailto:Renee.Ancarrow@doa.virginia.gov" TargetMode="External"/><Relationship Id="rId31" Type="http://schemas.openxmlformats.org/officeDocument/2006/relationships/footer" Target="footer3.xm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yperlink" Target="mailto:holly.GreerRiggs@securian.com" TargetMode="External"/><Relationship Id="rId22" Type="http://schemas.openxmlformats.org/officeDocument/2006/relationships/hyperlink" Target="mailto:Stephanie.Finklin@doa.virginia.go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6</Pages>
  <Words>2039</Words>
  <Characters>13189</Characters>
  <Application>Microsoft Office Word</Application>
  <DocSecurity>0</DocSecurity>
  <Lines>471</Lines>
  <Paragraphs>237</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14991</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Ashlyn Jinnette</cp:lastModifiedBy>
  <cp:revision>2</cp:revision>
  <cp:lastPrinted>2019-12-30T23:07:00Z</cp:lastPrinted>
  <dcterms:created xsi:type="dcterms:W3CDTF">2023-01-03T13:22:00Z</dcterms:created>
  <dcterms:modified xsi:type="dcterms:W3CDTF">2023-01-03T13:22:00Z</dcterms:modified>
  <cp:category>Payroll Bulletin</cp:category>
</cp:coreProperties>
</file>